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D3" w:rsidRPr="009B11D3" w:rsidRDefault="009B11D3" w:rsidP="009B11D3">
      <w:pPr>
        <w:pStyle w:val="ListParagraph"/>
        <w:spacing w:before="240"/>
        <w:ind w:left="0" w:firstLine="720"/>
        <w:jc w:val="center"/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</w:pPr>
      <w:r w:rsidRPr="009B11D3">
        <w:rPr>
          <w:rFonts w:ascii="Sylfaen" w:hAnsi="Sylfaen" w:cs="Sylfaen"/>
          <w:b/>
          <w:bCs/>
          <w:color w:val="000000"/>
          <w:sz w:val="24"/>
          <w:szCs w:val="24"/>
          <w:lang w:val="ka-GE"/>
        </w:rPr>
        <w:t>ქვეყნის გარეთ მივლინებების თვისებრივი ანალიზი</w:t>
      </w:r>
    </w:p>
    <w:p w:rsidR="009B11D3" w:rsidRDefault="009B11D3" w:rsidP="0056384C">
      <w:pPr>
        <w:pStyle w:val="ListParagraph"/>
        <w:spacing w:before="240"/>
        <w:ind w:left="0" w:firstLine="720"/>
        <w:jc w:val="both"/>
        <w:rPr>
          <w:rFonts w:ascii="Sylfaen" w:hAnsi="Sylfaen" w:cs="Sylfaen"/>
          <w:b/>
          <w:bCs/>
          <w:color w:val="000000"/>
          <w:lang w:val="ka-GE"/>
        </w:rPr>
      </w:pPr>
    </w:p>
    <w:p w:rsidR="00215E1E" w:rsidRPr="00281DC7" w:rsidRDefault="00281DC7" w:rsidP="0056384C">
      <w:pPr>
        <w:pStyle w:val="ListParagraph"/>
        <w:spacing w:before="240"/>
        <w:ind w:left="0"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CB65A6">
        <w:rPr>
          <w:rFonts w:ascii="Sylfaen" w:hAnsi="Sylfaen" w:cs="Sylfaen"/>
          <w:b/>
          <w:bCs/>
          <w:color w:val="000000"/>
          <w:lang w:val="ka-GE"/>
        </w:rPr>
        <w:t>კვლევის მთავარი კითხვა</w:t>
      </w:r>
      <w:r w:rsidRPr="00281DC7">
        <w:rPr>
          <w:rFonts w:ascii="Sylfaen" w:hAnsi="Sylfaen" w:cs="Sylfaen"/>
          <w:bCs/>
          <w:color w:val="000000"/>
          <w:lang w:val="ka-GE"/>
        </w:rPr>
        <w:t xml:space="preserve"> - </w:t>
      </w:r>
      <w:r w:rsidR="00215E1E" w:rsidRPr="00281DC7">
        <w:rPr>
          <w:rFonts w:ascii="Sylfaen" w:hAnsi="Sylfaen" w:cs="Sylfaen"/>
          <w:bCs/>
          <w:color w:val="000000"/>
          <w:lang w:val="ka-GE"/>
        </w:rPr>
        <w:t xml:space="preserve">რატომ გაიზარდა ქვეყნის გარეთ მივლინებების </w:t>
      </w:r>
      <w:r w:rsidR="00A014E9">
        <w:rPr>
          <w:rFonts w:ascii="Sylfaen" w:hAnsi="Sylfaen" w:cs="Sylfaen"/>
          <w:bCs/>
          <w:color w:val="000000"/>
          <w:lang w:val="ka-GE"/>
        </w:rPr>
        <w:t xml:space="preserve">(შემდგომში - მივლინება) </w:t>
      </w:r>
      <w:r w:rsidR="00215E1E" w:rsidRPr="00281DC7">
        <w:rPr>
          <w:rFonts w:ascii="Sylfaen" w:hAnsi="Sylfaen" w:cs="Sylfaen"/>
          <w:bCs/>
          <w:color w:val="000000"/>
          <w:lang w:val="ka-GE"/>
        </w:rPr>
        <w:t>რაოდენობა?</w:t>
      </w:r>
    </w:p>
    <w:p w:rsidR="00215E1E" w:rsidRPr="00281DC7" w:rsidRDefault="00215E1E" w:rsidP="0056384C">
      <w:pPr>
        <w:pStyle w:val="ListParagraph"/>
        <w:spacing w:before="240"/>
        <w:ind w:left="0"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CB65A6">
        <w:rPr>
          <w:rFonts w:ascii="Sylfaen" w:hAnsi="Sylfaen" w:cs="Sylfaen"/>
          <w:b/>
          <w:bCs/>
          <w:color w:val="000000"/>
          <w:lang w:val="ka-GE"/>
        </w:rPr>
        <w:t>კვლევის თემას</w:t>
      </w:r>
      <w:r w:rsidRPr="00281DC7">
        <w:rPr>
          <w:rFonts w:ascii="Sylfaen" w:hAnsi="Sylfaen" w:cs="Sylfaen"/>
          <w:bCs/>
          <w:color w:val="000000"/>
          <w:lang w:val="ka-GE"/>
        </w:rPr>
        <w:t xml:space="preserve"> წარმოადგენდა მივლინების ზრდის დინამიკა წლების განმავლობაში, მივლინების</w:t>
      </w:r>
      <w:r w:rsidR="007E1F94">
        <w:rPr>
          <w:rFonts w:ascii="Sylfaen" w:hAnsi="Sylfaen" w:cs="Sylfaen"/>
          <w:bCs/>
          <w:color w:val="000000"/>
        </w:rPr>
        <w:t xml:space="preserve"> </w:t>
      </w:r>
      <w:r w:rsidR="007E1F94">
        <w:rPr>
          <w:rFonts w:ascii="Sylfaen" w:hAnsi="Sylfaen" w:cs="Sylfaen"/>
          <w:bCs/>
          <w:color w:val="000000"/>
          <w:lang w:val="ka-GE"/>
        </w:rPr>
        <w:t>თაობაზე</w:t>
      </w:r>
      <w:r w:rsidRPr="00281DC7">
        <w:rPr>
          <w:rFonts w:ascii="Sylfaen" w:hAnsi="Sylfaen" w:cs="Sylfaen"/>
          <w:bCs/>
          <w:color w:val="000000"/>
          <w:lang w:val="ka-GE"/>
        </w:rPr>
        <w:t xml:space="preserve"> გადაწყვეტილების მიღების პროცესი, მივლინებებთან დაკავშირებული სახელმწიფო ფინანსური დანახარჯები, მივლინების შედეგები და მათი ეფექტ</w:t>
      </w:r>
      <w:r w:rsidR="007E1F94">
        <w:rPr>
          <w:rFonts w:ascii="Sylfaen" w:hAnsi="Sylfaen" w:cs="Sylfaen"/>
          <w:bCs/>
          <w:color w:val="000000"/>
          <w:lang w:val="ka-GE"/>
        </w:rPr>
        <w:t>იან</w:t>
      </w:r>
      <w:r w:rsidRPr="00281DC7">
        <w:rPr>
          <w:rFonts w:ascii="Sylfaen" w:hAnsi="Sylfaen" w:cs="Sylfaen"/>
          <w:bCs/>
          <w:color w:val="000000"/>
          <w:lang w:val="ka-GE"/>
        </w:rPr>
        <w:t>ობის შეფასება.</w:t>
      </w:r>
    </w:p>
    <w:p w:rsidR="00281DC7" w:rsidRPr="00F56B01" w:rsidRDefault="00281DC7" w:rsidP="0056384C">
      <w:pPr>
        <w:shd w:val="clear" w:color="auto" w:fill="FFFFFF"/>
        <w:spacing w:before="240" w:after="100" w:afterAutospacing="1" w:line="236" w:lineRule="atLeast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CB65A6">
        <w:rPr>
          <w:rFonts w:ascii="Sylfaen" w:eastAsia="Times New Roman" w:hAnsi="Sylfaen" w:cs="Times New Roman"/>
          <w:b/>
          <w:color w:val="000000"/>
          <w:lang w:val="ka-GE"/>
        </w:rPr>
        <w:t>გამოკვლევის ობიექტად</w:t>
      </w:r>
      <w:r w:rsidRPr="00281DC7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lang w:val="ka-GE"/>
        </w:rPr>
        <w:t>განისაზღვრა</w:t>
      </w:r>
      <w:r w:rsidRPr="00281DC7">
        <w:rPr>
          <w:rFonts w:ascii="Sylfaen" w:eastAsia="Times New Roman" w:hAnsi="Sylfaen" w:cs="Times New Roman"/>
          <w:color w:val="000000"/>
          <w:lang w:val="ka-GE"/>
        </w:rPr>
        <w:t xml:space="preserve"> მივლინებასთან დაკავშირებული დოკუმენტაცია და მივლინების განმახორციელებელი პირები.</w:t>
      </w:r>
    </w:p>
    <w:p w:rsidR="00281DC7" w:rsidRPr="00281DC7" w:rsidRDefault="00281DC7" w:rsidP="0056384C">
      <w:pPr>
        <w:pStyle w:val="ListParagraph"/>
        <w:spacing w:before="240"/>
        <w:ind w:left="0" w:firstLine="720"/>
        <w:jc w:val="both"/>
        <w:rPr>
          <w:rFonts w:ascii="Sylfaen" w:hAnsi="Sylfaen" w:cs="Sylfaen"/>
          <w:bCs/>
          <w:color w:val="000000"/>
          <w:lang w:val="ka-GE"/>
        </w:rPr>
      </w:pPr>
      <w:r w:rsidRPr="007E1F94">
        <w:rPr>
          <w:rFonts w:ascii="Sylfaen" w:hAnsi="Sylfaen" w:cs="Sylfaen"/>
          <w:b/>
          <w:bCs/>
          <w:color w:val="000000"/>
          <w:lang w:val="ka-GE"/>
        </w:rPr>
        <w:t xml:space="preserve">ანალიზის </w:t>
      </w:r>
      <w:r w:rsidR="00CB65A6" w:rsidRPr="007E1F94">
        <w:rPr>
          <w:rFonts w:ascii="Sylfaen" w:hAnsi="Sylfaen" w:cs="Sylfaen"/>
          <w:b/>
          <w:bCs/>
          <w:color w:val="000000"/>
          <w:lang w:val="ka-GE"/>
        </w:rPr>
        <w:t>მიზანს</w:t>
      </w:r>
      <w:r w:rsidR="00CB65A6">
        <w:rPr>
          <w:rFonts w:ascii="Sylfaen" w:hAnsi="Sylfaen" w:cs="Sylfaen"/>
          <w:bCs/>
          <w:color w:val="000000"/>
          <w:lang w:val="ka-GE"/>
        </w:rPr>
        <w:t xml:space="preserve"> წარმოადგენდა</w:t>
      </w:r>
      <w:r w:rsidRPr="00281DC7">
        <w:rPr>
          <w:rFonts w:ascii="Sylfaen" w:hAnsi="Sylfaen" w:cs="Sylfaen"/>
          <w:bCs/>
          <w:color w:val="000000"/>
          <w:lang w:val="ka-GE"/>
        </w:rPr>
        <w:t xml:space="preserve"> მივლინებაზე გადაწყვეტილების მიღების სისტემის დახვეწა და მივლილების ეფექტიანობის ამაღლება</w:t>
      </w:r>
      <w:r w:rsidR="007E1F94">
        <w:rPr>
          <w:rFonts w:ascii="Sylfaen" w:hAnsi="Sylfaen" w:cs="Sylfaen"/>
          <w:bCs/>
          <w:color w:val="000000"/>
          <w:lang w:val="ka-GE"/>
        </w:rPr>
        <w:t>.</w:t>
      </w:r>
    </w:p>
    <w:p w:rsidR="00F56B01" w:rsidRPr="00281DC7" w:rsidRDefault="00F56B01" w:rsidP="0056384C">
      <w:pPr>
        <w:pStyle w:val="ListParagraph"/>
        <w:spacing w:before="240"/>
        <w:ind w:firstLine="720"/>
        <w:rPr>
          <w:rFonts w:ascii="Sylfaen" w:hAnsi="Sylfaen" w:cs="Sylfaen"/>
          <w:b/>
          <w:bCs/>
          <w:color w:val="000000"/>
          <w:u w:val="single"/>
        </w:rPr>
      </w:pPr>
    </w:p>
    <w:p w:rsidR="00F56B01" w:rsidRDefault="00F56B01" w:rsidP="0056384C">
      <w:pPr>
        <w:pStyle w:val="ListParagraph"/>
        <w:spacing w:before="240"/>
        <w:ind w:firstLine="720"/>
        <w:rPr>
          <w:color w:val="000000"/>
          <w:shd w:val="clear" w:color="auto" w:fill="FFFFFF"/>
        </w:rPr>
      </w:pPr>
    </w:p>
    <w:p w:rsidR="00BE1197" w:rsidRDefault="00BE1197" w:rsidP="0056384C">
      <w:pPr>
        <w:pStyle w:val="ListParagraph"/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მთავარ კითხვაზე პასუხის გასაცემად </w:t>
      </w:r>
      <w:r w:rsidRPr="00CB65A6">
        <w:rPr>
          <w:rFonts w:ascii="Sylfaen" w:hAnsi="Sylfaen"/>
          <w:b/>
          <w:color w:val="000000"/>
          <w:shd w:val="clear" w:color="auto" w:fill="FFFFFF"/>
          <w:lang w:val="ka-GE"/>
        </w:rPr>
        <w:t>განისაზღვრა შემდეგი ქვეკითხვები:</w:t>
      </w:r>
    </w:p>
    <w:p w:rsidR="00BE1197" w:rsidRDefault="00BE1197" w:rsidP="0056384C">
      <w:pPr>
        <w:pStyle w:val="ListParagraph"/>
        <w:numPr>
          <w:ilvl w:val="0"/>
          <w:numId w:val="15"/>
        </w:numPr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როგორი</w:t>
      </w:r>
      <w:r w:rsidR="007E1F94">
        <w:rPr>
          <w:rFonts w:ascii="Sylfaen" w:hAnsi="Sylfaen"/>
          <w:color w:val="000000"/>
          <w:shd w:val="clear" w:color="auto" w:fill="FFFFFF"/>
          <w:lang w:val="ka-GE"/>
        </w:rPr>
        <w:t>ა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მივლინების სტატისიკური მაჩვენებლები წლების, დეპარტამენტების, მიზნების, თემების,  მიხედვით;</w:t>
      </w:r>
    </w:p>
    <w:p w:rsidR="00BE1197" w:rsidRDefault="00BE1197" w:rsidP="0056384C">
      <w:pPr>
        <w:pStyle w:val="ListParagraph"/>
        <w:numPr>
          <w:ilvl w:val="0"/>
          <w:numId w:val="15"/>
        </w:numPr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როგორი</w:t>
      </w:r>
      <w:r w:rsidR="007E1F94">
        <w:rPr>
          <w:rFonts w:ascii="Sylfaen" w:hAnsi="Sylfaen"/>
          <w:color w:val="000000"/>
          <w:shd w:val="clear" w:color="auto" w:fill="FFFFFF"/>
          <w:lang w:val="ka-GE"/>
        </w:rPr>
        <w:t>ა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მივლინებაზე გადაწყვეტილების მიღების პროცესი</w:t>
      </w:r>
      <w:r w:rsidR="00B82FFA">
        <w:rPr>
          <w:rFonts w:ascii="Sylfaen" w:hAnsi="Sylfaen"/>
          <w:color w:val="000000"/>
          <w:shd w:val="clear" w:color="auto" w:fill="FFFFFF"/>
          <w:lang w:val="ka-GE"/>
        </w:rPr>
        <w:t>, მათ შორის:</w:t>
      </w:r>
    </w:p>
    <w:p w:rsidR="00B82FFA" w:rsidRPr="00D72560" w:rsidRDefault="00B82FFA" w:rsidP="0056384C">
      <w:pPr>
        <w:pStyle w:val="ListParagraph"/>
        <w:numPr>
          <w:ilvl w:val="0"/>
          <w:numId w:val="16"/>
        </w:numPr>
        <w:spacing w:before="240"/>
        <w:ind w:firstLine="720"/>
        <w:jc w:val="both"/>
        <w:rPr>
          <w:rFonts w:ascii="Sylfaen" w:hAnsi="Sylfaen"/>
          <w:lang w:val="ka-GE"/>
        </w:rPr>
      </w:pPr>
      <w:r w:rsidRPr="00D72560">
        <w:rPr>
          <w:rFonts w:ascii="Sylfaen" w:hAnsi="Sylfaen"/>
          <w:lang w:val="ka-GE"/>
        </w:rPr>
        <w:t>შემუშავებულია თუ არა საზღვარგარეთ მივლინებების მართვის წესები და აუცილებლობის კრიტერიუმები (პოლიტიკა);</w:t>
      </w:r>
    </w:p>
    <w:p w:rsidR="00B82FFA" w:rsidRPr="002A4EF4" w:rsidRDefault="00B82FFA" w:rsidP="0056384C">
      <w:pPr>
        <w:pStyle w:val="ListParagraph"/>
        <w:numPr>
          <w:ilvl w:val="0"/>
          <w:numId w:val="16"/>
        </w:numPr>
        <w:spacing w:before="240"/>
        <w:ind w:firstLine="720"/>
        <w:jc w:val="both"/>
      </w:pPr>
      <w:r w:rsidRPr="00D72560">
        <w:rPr>
          <w:rFonts w:ascii="Sylfaen" w:hAnsi="Sylfaen"/>
          <w:lang w:val="ka-GE"/>
        </w:rPr>
        <w:t>მივლინებ</w:t>
      </w:r>
      <w:r w:rsidR="00A014E9">
        <w:rPr>
          <w:rFonts w:ascii="Sylfaen" w:hAnsi="Sylfaen"/>
          <w:lang w:val="ka-GE"/>
        </w:rPr>
        <w:t>ა</w:t>
      </w:r>
      <w:r w:rsidRPr="00D72560">
        <w:rPr>
          <w:rFonts w:ascii="Sylfaen" w:hAnsi="Sylfaen"/>
          <w:lang w:val="ka-GE"/>
        </w:rPr>
        <w:t>ზე გადაწყვეტილების მიღება რამდენად ეფუძნება აუცილებლობის დასაბუთებას;</w:t>
      </w:r>
    </w:p>
    <w:p w:rsidR="001D3FA8" w:rsidRPr="00D72560" w:rsidRDefault="001D3FA8" w:rsidP="0056384C">
      <w:pPr>
        <w:pStyle w:val="ListParagraph"/>
        <w:numPr>
          <w:ilvl w:val="0"/>
          <w:numId w:val="17"/>
        </w:numPr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72560">
        <w:rPr>
          <w:rFonts w:ascii="Sylfaen" w:hAnsi="Sylfaen"/>
          <w:color w:val="000000"/>
          <w:shd w:val="clear" w:color="auto" w:fill="FFFFFF"/>
          <w:lang w:val="ka-GE"/>
        </w:rPr>
        <w:t xml:space="preserve">ხომ არ იყო მივლინების ზრდადი დინამიკა დაკავშირებული საერთაშორისო </w:t>
      </w:r>
      <w:r w:rsidR="00BC4114">
        <w:rPr>
          <w:rFonts w:ascii="Sylfaen" w:hAnsi="Sylfaen"/>
          <w:color w:val="000000"/>
          <w:shd w:val="clear" w:color="auto" w:fill="FFFFFF"/>
          <w:lang w:val="ka-GE"/>
        </w:rPr>
        <w:t>ინტერეს</w:t>
      </w:r>
      <w:r w:rsidRPr="00D72560">
        <w:rPr>
          <w:rFonts w:ascii="Sylfaen" w:hAnsi="Sylfaen"/>
          <w:color w:val="000000"/>
          <w:shd w:val="clear" w:color="auto" w:fill="FFFFFF"/>
          <w:lang w:val="ka-GE"/>
        </w:rPr>
        <w:t>ის და შესაბამისად, მოწვევების რაოდენობის ზრდასთან;</w:t>
      </w:r>
    </w:p>
    <w:p w:rsidR="00B82FFA" w:rsidRPr="002A4EF4" w:rsidRDefault="00A014E9" w:rsidP="0056384C">
      <w:pPr>
        <w:pStyle w:val="ListParagraph"/>
        <w:numPr>
          <w:ilvl w:val="0"/>
          <w:numId w:val="17"/>
        </w:numPr>
        <w:spacing w:before="240"/>
        <w:ind w:left="0" w:firstLine="720"/>
      </w:pPr>
      <w:r>
        <w:rPr>
          <w:rFonts w:ascii="Sylfaen" w:hAnsi="Sylfaen"/>
          <w:color w:val="000000"/>
          <w:shd w:val="clear" w:color="auto" w:fill="FFFFFF"/>
          <w:lang w:val="ka-GE"/>
        </w:rPr>
        <w:t>როგორი</w:t>
      </w:r>
      <w:r w:rsidR="00BE1197" w:rsidRPr="00D72560">
        <w:rPr>
          <w:rFonts w:ascii="Sylfaen" w:hAnsi="Sylfaen"/>
          <w:color w:val="000000"/>
          <w:shd w:val="clear" w:color="auto" w:fill="FFFFFF"/>
          <w:lang w:val="ka-GE"/>
        </w:rPr>
        <w:t xml:space="preserve"> იყო მივლინებები</w:t>
      </w:r>
      <w:r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="00BE1197" w:rsidRPr="00D72560">
        <w:rPr>
          <w:rFonts w:ascii="Sylfaen" w:hAnsi="Sylfaen"/>
          <w:color w:val="000000"/>
          <w:shd w:val="clear" w:color="auto" w:fill="FFFFFF"/>
          <w:lang w:val="ka-GE"/>
        </w:rPr>
        <w:t xml:space="preserve"> შედეგები</w:t>
      </w:r>
      <w:r>
        <w:rPr>
          <w:rFonts w:ascii="Sylfaen" w:hAnsi="Sylfaen"/>
          <w:color w:val="000000"/>
          <w:shd w:val="clear" w:color="auto" w:fill="FFFFFF"/>
          <w:lang w:val="ka-GE"/>
        </w:rPr>
        <w:t>.</w:t>
      </w:r>
    </w:p>
    <w:p w:rsidR="00BE1197" w:rsidRDefault="00BE1197" w:rsidP="0056384C">
      <w:pPr>
        <w:pStyle w:val="ListParagraph"/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BE1197" w:rsidRDefault="00BE1197" w:rsidP="0056384C">
      <w:pPr>
        <w:pStyle w:val="ListParagraph"/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D72560" w:rsidRDefault="00D72560" w:rsidP="0056384C">
      <w:pPr>
        <w:pStyle w:val="ListParagraph"/>
        <w:spacing w:before="240"/>
        <w:ind w:left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ანალიზის განხორციელების მიზნით </w:t>
      </w:r>
      <w:r w:rsidR="00AB1B6A" w:rsidRPr="00CB65A6">
        <w:rPr>
          <w:rFonts w:ascii="Sylfaen" w:hAnsi="Sylfaen"/>
          <w:b/>
          <w:color w:val="000000"/>
          <w:shd w:val="clear" w:color="auto" w:fill="FFFFFF"/>
          <w:lang w:val="ka-GE"/>
        </w:rPr>
        <w:t>გამოვითხოვეთ</w:t>
      </w:r>
      <w:r w:rsidRPr="00CB65A6">
        <w:rPr>
          <w:rFonts w:ascii="Sylfaen" w:hAnsi="Sylfaen"/>
          <w:b/>
          <w:color w:val="000000"/>
          <w:shd w:val="clear" w:color="auto" w:fill="FFFFFF"/>
          <w:lang w:val="ka-GE"/>
        </w:rPr>
        <w:t xml:space="preserve"> შემდეგი მონაცემები:</w:t>
      </w:r>
    </w:p>
    <w:p w:rsidR="00AB1B6A" w:rsidRDefault="00AB1B6A" w:rsidP="0056384C">
      <w:pPr>
        <w:pStyle w:val="ListParagraph"/>
        <w:numPr>
          <w:ilvl w:val="0"/>
          <w:numId w:val="18"/>
        </w:numPr>
        <w:spacing w:before="240"/>
        <w:ind w:firstLine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კონკრეტული </w:t>
      </w:r>
      <w:r w:rsidR="00A014E9">
        <w:rPr>
          <w:rFonts w:ascii="Sylfaen" w:hAnsi="Sylfaen"/>
          <w:color w:val="000000"/>
          <w:shd w:val="clear" w:color="auto" w:fill="FFFFFF"/>
          <w:lang w:val="ka-GE"/>
        </w:rPr>
        <w:t>ინფორმაცია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თითოეული მივლინების შესახებ;</w:t>
      </w:r>
    </w:p>
    <w:p w:rsidR="00D72560" w:rsidRDefault="00D72560" w:rsidP="0056384C">
      <w:pPr>
        <w:pStyle w:val="ListParagraph"/>
        <w:numPr>
          <w:ilvl w:val="0"/>
          <w:numId w:val="18"/>
        </w:numPr>
        <w:spacing w:before="240"/>
        <w:ind w:firstLine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 xml:space="preserve">მივლინებების </w:t>
      </w:r>
      <w:r w:rsidR="00AB1B6A">
        <w:rPr>
          <w:rFonts w:ascii="Sylfaen" w:hAnsi="Sylfaen"/>
          <w:color w:val="000000"/>
          <w:shd w:val="clear" w:color="auto" w:fill="FFFFFF"/>
          <w:lang w:val="ka-GE"/>
        </w:rPr>
        <w:t xml:space="preserve">განხორციელების </w:t>
      </w:r>
      <w:r>
        <w:rPr>
          <w:rFonts w:ascii="Sylfaen" w:hAnsi="Sylfaen"/>
          <w:color w:val="000000"/>
          <w:shd w:val="clear" w:color="auto" w:fill="FFFFFF"/>
          <w:lang w:val="ka-GE"/>
        </w:rPr>
        <w:t>მარეგულირებელი სამართლებრივი აქტები;</w:t>
      </w:r>
    </w:p>
    <w:p w:rsidR="00D72560" w:rsidRDefault="00AB1B6A" w:rsidP="0056384C">
      <w:pPr>
        <w:pStyle w:val="ListParagraph"/>
        <w:numPr>
          <w:ilvl w:val="0"/>
          <w:numId w:val="18"/>
        </w:numPr>
        <w:spacing w:before="240"/>
        <w:ind w:firstLine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მოწვევების სრული სტატისტიკა;</w:t>
      </w:r>
    </w:p>
    <w:p w:rsidR="00AB1B6A" w:rsidRDefault="00AB1B6A" w:rsidP="0056384C">
      <w:pPr>
        <w:pStyle w:val="ListParagraph"/>
        <w:numPr>
          <w:ilvl w:val="0"/>
          <w:numId w:val="18"/>
        </w:numPr>
        <w:spacing w:before="240"/>
        <w:ind w:firstLine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ინფორმაცია მივლინების დასრულების შემდგომი ქმედებების შესახებ</w:t>
      </w:r>
      <w:r w:rsidR="000A34D5">
        <w:rPr>
          <w:rFonts w:ascii="Sylfaen" w:hAnsi="Sylfaen"/>
          <w:color w:val="000000"/>
          <w:shd w:val="clear" w:color="auto" w:fill="FFFFFF"/>
          <w:lang w:val="ka-GE"/>
        </w:rPr>
        <w:t>;</w:t>
      </w:r>
    </w:p>
    <w:p w:rsidR="000A34D5" w:rsidRDefault="000A34D5" w:rsidP="0056384C">
      <w:pPr>
        <w:pStyle w:val="ListParagraph"/>
        <w:numPr>
          <w:ilvl w:val="0"/>
          <w:numId w:val="18"/>
        </w:numPr>
        <w:spacing w:before="240"/>
        <w:ind w:left="0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წელს მივლინების განმახორციელებელი პირების განმარტებები მივლინების აუცილებლობისა და იმ რისკების შესახებ, რომელიც შესაძლოა, დამდგარიყო მივლინებების არგანხორციელების შემთხვევაში.</w:t>
      </w:r>
    </w:p>
    <w:p w:rsidR="00AB1B6A" w:rsidRDefault="00AB1B6A" w:rsidP="0056384C">
      <w:pPr>
        <w:pStyle w:val="ListParagraph"/>
        <w:spacing w:before="240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BE1197" w:rsidRPr="0056384C" w:rsidRDefault="0096031B" w:rsidP="0056384C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 w:rsidRPr="0056384C">
        <w:rPr>
          <w:rFonts w:ascii="Sylfaen" w:eastAsia="Sylfaen" w:hAnsi="Sylfaen"/>
          <w:b/>
          <w:lang w:val="ka-GE"/>
        </w:rPr>
        <w:t xml:space="preserve">მონაცემების </w:t>
      </w:r>
      <w:r w:rsidR="0056384C" w:rsidRPr="0056384C">
        <w:rPr>
          <w:rFonts w:ascii="Sylfaen" w:eastAsia="Sylfaen" w:hAnsi="Sylfaen"/>
          <w:b/>
          <w:lang w:val="ka-GE"/>
        </w:rPr>
        <w:t>და</w:t>
      </w:r>
      <w:r w:rsidRPr="0056384C">
        <w:rPr>
          <w:rFonts w:ascii="Sylfaen" w:eastAsia="Sylfaen" w:hAnsi="Sylfaen"/>
          <w:b/>
          <w:lang w:val="ka-GE"/>
        </w:rPr>
        <w:t>კლასიფიკაცი</w:t>
      </w:r>
      <w:r w:rsidR="0056384C" w:rsidRPr="0056384C">
        <w:rPr>
          <w:rFonts w:ascii="Sylfaen" w:eastAsia="Sylfaen" w:hAnsi="Sylfaen"/>
          <w:b/>
          <w:lang w:val="ka-GE"/>
        </w:rPr>
        <w:t>რდ</w:t>
      </w:r>
      <w:r w:rsidRPr="0056384C">
        <w:rPr>
          <w:rFonts w:ascii="Sylfaen" w:eastAsia="Sylfaen" w:hAnsi="Sylfaen"/>
          <w:b/>
          <w:lang w:val="ka-GE"/>
        </w:rPr>
        <w:t>ა</w:t>
      </w:r>
      <w:r w:rsidRPr="0056384C">
        <w:rPr>
          <w:rFonts w:ascii="Sylfaen" w:eastAsia="Sylfaen" w:hAnsi="Sylfaen"/>
          <w:lang w:val="ka-GE"/>
        </w:rPr>
        <w:t xml:space="preserve"> წლების, დეპარტამენტების, მიზნობრიობის, თემების მიხედვით და </w:t>
      </w:r>
      <w:r w:rsidR="0056384C" w:rsidRPr="0056384C">
        <w:rPr>
          <w:rFonts w:ascii="Sylfaen" w:eastAsia="Sylfaen" w:hAnsi="Sylfaen"/>
          <w:lang w:val="ka-GE"/>
        </w:rPr>
        <w:t xml:space="preserve">განხორციელდა </w:t>
      </w:r>
      <w:r w:rsidRPr="0056384C">
        <w:rPr>
          <w:rFonts w:ascii="Sylfaen" w:eastAsia="Sylfaen" w:hAnsi="Sylfaen"/>
          <w:lang w:val="ka-GE"/>
        </w:rPr>
        <w:t>მათი რაოდენობრივი და თვისებრივი ანალიზი.</w:t>
      </w:r>
    </w:p>
    <w:p w:rsidR="00AA7C3C" w:rsidRDefault="00AA7C3C" w:rsidP="0056384C">
      <w:pPr>
        <w:spacing w:before="240" w:after="0"/>
        <w:ind w:firstLine="720"/>
        <w:jc w:val="both"/>
        <w:rPr>
          <w:rFonts w:ascii="Sylfaen" w:eastAsia="Sylfaen" w:hAnsi="Sylfaen"/>
          <w:b/>
          <w:lang w:val="ka-GE"/>
        </w:rPr>
      </w:pPr>
    </w:p>
    <w:p w:rsidR="00CB65A6" w:rsidRPr="00CB65A6" w:rsidRDefault="00CB65A6" w:rsidP="0056384C">
      <w:pPr>
        <w:spacing w:before="240" w:after="0"/>
        <w:ind w:firstLine="720"/>
        <w:jc w:val="both"/>
        <w:rPr>
          <w:rFonts w:ascii="Sylfaen" w:eastAsia="Sylfaen" w:hAnsi="Sylfaen"/>
          <w:b/>
          <w:lang w:val="ka-GE"/>
        </w:rPr>
      </w:pPr>
      <w:r w:rsidRPr="00CB65A6">
        <w:rPr>
          <w:rFonts w:ascii="Sylfaen" w:eastAsia="Sylfaen" w:hAnsi="Sylfaen"/>
          <w:b/>
          <w:lang w:val="ka-GE"/>
        </w:rPr>
        <w:lastRenderedPageBreak/>
        <w:t>რაოდენობრივი ანალიზი</w:t>
      </w:r>
    </w:p>
    <w:p w:rsidR="00740423" w:rsidRDefault="00740423" w:rsidP="00740423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 w:rsidRPr="0056384C">
        <w:rPr>
          <w:rFonts w:ascii="Sylfaen" w:eastAsia="Sylfaen" w:hAnsi="Sylfaen"/>
          <w:lang w:val="ka-GE"/>
        </w:rPr>
        <w:t>მივლინებების ზრდის დინამიკა შეფასდა 2010-2018 წლების პერიოდის მონაცემებით, ხოლო თვისებრივი ანალიზი განხორციელდა 2018 წლის მონაცემების საფუძველზე.</w:t>
      </w:r>
    </w:p>
    <w:p w:rsidR="009B11D3" w:rsidRDefault="009B11D3" w:rsidP="009B11D3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 w:rsidRPr="00E85726">
        <w:rPr>
          <w:rFonts w:ascii="Sylfaen" w:eastAsia="Sylfaen" w:hAnsi="Sylfaen"/>
          <w:lang w:val="ka-GE"/>
        </w:rPr>
        <w:t>აღსანიშნავია, რომ მივლინებათა სიხშირის მატება, 2015-2016 წლებში განსაკუთრებით თვალსაჩინოა 2013 წელთან შედარებით. ამასთან, 2013-2014  წლებში, 2010-2011 წლებთან შედარებთ, აღნიშნული მაჩვენებელი მკვეთრად იყო შემცირებული. ასე</w:t>
      </w:r>
      <w:r>
        <w:rPr>
          <w:rFonts w:ascii="Sylfaen" w:eastAsia="Sylfaen" w:hAnsi="Sylfaen"/>
          <w:lang w:val="ka-GE"/>
        </w:rPr>
        <w:t xml:space="preserve"> მაგალითად</w:t>
      </w:r>
      <w:r w:rsidRPr="00E85726">
        <w:rPr>
          <w:rFonts w:ascii="Sylfaen" w:eastAsia="Sylfaen" w:hAnsi="Sylfaen"/>
          <w:lang w:val="ka-GE"/>
        </w:rPr>
        <w:t>, იგი 2013 წელს 29%-ით, ხოლო 2014 წელს - 37%-ით შემცირდა. სწორედ, ამ შემცირებულ მაჩვენებელთან მიმართებაშია 2015-2018 წლებში ზრდის ტენდენცია თვალსაჩინო.</w:t>
      </w:r>
    </w:p>
    <w:p w:rsidR="009B11D3" w:rsidRDefault="009B11D3" w:rsidP="0056384C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noProof/>
        </w:rPr>
        <w:drawing>
          <wp:inline distT="0" distB="0" distL="0" distR="0" wp14:anchorId="5241DC81" wp14:editId="43B52485">
            <wp:extent cx="5115560" cy="2298357"/>
            <wp:effectExtent l="0" t="0" r="889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7C3C" w:rsidRDefault="00AA7C3C" w:rsidP="0056384C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</w:p>
    <w:p w:rsidR="009B11D3" w:rsidRDefault="009B11D3" w:rsidP="0056384C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იერარქიული რანგების მიხედვით გამოხატულია დეპარტამენტის ხელმძღვანელი პირების (უფროსი, მოადგილე, სამმართველო უფროსი) მივლინებათა სიხშირის მატება.</w:t>
      </w:r>
    </w:p>
    <w:p w:rsidR="009B11D3" w:rsidRDefault="009B11D3" w:rsidP="0056384C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368127EE" wp14:editId="13E5A33D">
            <wp:extent cx="5189220" cy="3262184"/>
            <wp:effectExtent l="0" t="0" r="11430" b="146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11D3" w:rsidRDefault="009B11D3" w:rsidP="003A5B13">
      <w:pPr>
        <w:spacing w:after="0"/>
        <w:ind w:firstLine="720"/>
        <w:jc w:val="both"/>
        <w:rPr>
          <w:rFonts w:ascii="Sylfaen" w:eastAsia="Sylfaen" w:hAnsi="Sylfaen"/>
          <w:lang w:val="ka-GE"/>
        </w:rPr>
      </w:pPr>
    </w:p>
    <w:p w:rsidR="003A5B13" w:rsidRPr="003A5B13" w:rsidRDefault="00E85726" w:rsidP="003A5B13">
      <w:pPr>
        <w:spacing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როგორც მიღებულმა მონაცემებმა </w:t>
      </w:r>
      <w:r w:rsidR="00F20DAF">
        <w:rPr>
          <w:rFonts w:ascii="Sylfaen" w:eastAsia="Sylfaen" w:hAnsi="Sylfaen"/>
          <w:lang w:val="ka-GE"/>
        </w:rPr>
        <w:t>გვიჩვენა</w:t>
      </w:r>
      <w:r>
        <w:rPr>
          <w:rFonts w:ascii="Sylfaen" w:eastAsia="Sylfaen" w:hAnsi="Sylfaen"/>
          <w:lang w:val="ka-GE"/>
        </w:rPr>
        <w:t xml:space="preserve">, </w:t>
      </w:r>
      <w:r w:rsidR="009B11D3">
        <w:rPr>
          <w:rFonts w:ascii="Sylfaen" w:eastAsia="Sylfaen" w:hAnsi="Sylfaen"/>
          <w:lang w:val="ka-GE"/>
        </w:rPr>
        <w:t xml:space="preserve">2018 წელს </w:t>
      </w:r>
      <w:r>
        <w:rPr>
          <w:rFonts w:ascii="Sylfaen" w:eastAsia="Sylfaen" w:hAnsi="Sylfaen"/>
          <w:lang w:val="ka-GE"/>
        </w:rPr>
        <w:t xml:space="preserve">მივლინებები, ძირითადად </w:t>
      </w:r>
      <w:r w:rsidR="009B11D3">
        <w:rPr>
          <w:rFonts w:ascii="Sylfaen" w:eastAsia="Sylfaen" w:hAnsi="Sylfaen"/>
          <w:lang w:val="ka-GE"/>
        </w:rPr>
        <w:t>ხორციელდებოდა</w:t>
      </w:r>
      <w:r>
        <w:rPr>
          <w:rFonts w:ascii="Sylfaen" w:eastAsia="Sylfaen" w:hAnsi="Sylfaen"/>
          <w:lang w:val="ka-GE"/>
        </w:rPr>
        <w:t xml:space="preserve"> სამინ</w:t>
      </w:r>
      <w:r w:rsidR="00740423">
        <w:rPr>
          <w:rFonts w:ascii="Sylfaen" w:eastAsia="Sylfaen" w:hAnsi="Sylfaen"/>
          <w:lang w:val="ka-GE"/>
        </w:rPr>
        <w:t>ი</w:t>
      </w:r>
      <w:r>
        <w:rPr>
          <w:rFonts w:ascii="Sylfaen" w:eastAsia="Sylfaen" w:hAnsi="Sylfaen"/>
          <w:lang w:val="ka-GE"/>
        </w:rPr>
        <w:t xml:space="preserve">სტროს პოლიტიკის განმსაზღვრელი დეპარტამენტების მიერ. </w:t>
      </w:r>
    </w:p>
    <w:p w:rsidR="0065798E" w:rsidRPr="003A5B13" w:rsidRDefault="009B11D3" w:rsidP="00BE1197">
      <w:pPr>
        <w:pStyle w:val="ListParagraph"/>
        <w:ind w:left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 wp14:anchorId="66F97326" wp14:editId="0AC3794F">
            <wp:extent cx="5634681" cy="2800865"/>
            <wp:effectExtent l="0" t="0" r="444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31B" w:rsidRDefault="0096031B" w:rsidP="00BE1197">
      <w:pPr>
        <w:pStyle w:val="ListParagraph"/>
        <w:ind w:left="0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9B11D3" w:rsidRDefault="009B11D3" w:rsidP="009B11D3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მივლინებათა თემატიკის სტრუქტურასთან დაკავშირებით </w:t>
      </w:r>
      <w:r w:rsidR="00AA7C3C">
        <w:rPr>
          <w:rFonts w:ascii="Sylfaen" w:eastAsia="Sylfaen" w:hAnsi="Sylfaen"/>
          <w:lang w:val="ka-GE"/>
        </w:rPr>
        <w:t>უნდა</w:t>
      </w:r>
      <w:r>
        <w:rPr>
          <w:rFonts w:ascii="Sylfaen" w:eastAsia="Sylfaen" w:hAnsi="Sylfaen"/>
          <w:lang w:val="ka-GE"/>
        </w:rPr>
        <w:t xml:space="preserve"> აღინიშნოს, რომ </w:t>
      </w:r>
      <w:r>
        <w:rPr>
          <w:rFonts w:ascii="Sylfaen" w:eastAsia="Sylfaen" w:hAnsi="Sylfaen"/>
          <w:lang w:val="ka-GE"/>
        </w:rPr>
        <w:t xml:space="preserve">2018 წელს მივლინებათა რაოდენობის </w:t>
      </w:r>
      <w:r>
        <w:rPr>
          <w:rFonts w:ascii="Sylfaen" w:eastAsia="Sylfaen" w:hAnsi="Sylfaen"/>
          <w:lang w:val="ka-GE"/>
        </w:rPr>
        <w:t xml:space="preserve">ზრდა ძირითადად, განპირობებული </w:t>
      </w:r>
      <w:r>
        <w:rPr>
          <w:rFonts w:ascii="Sylfaen" w:eastAsia="Sylfaen" w:hAnsi="Sylfaen"/>
          <w:lang w:val="ka-GE"/>
        </w:rPr>
        <w:t xml:space="preserve">იყო </w:t>
      </w:r>
      <w:r>
        <w:rPr>
          <w:rFonts w:ascii="Sylfaen" w:eastAsia="Sylfaen" w:hAnsi="Sylfaen"/>
          <w:lang w:val="ka-GE"/>
        </w:rPr>
        <w:t>სასწავლო ვიზიტების რაოდენობის მატებით.</w:t>
      </w:r>
    </w:p>
    <w:p w:rsidR="009B11D3" w:rsidRPr="00E85726" w:rsidRDefault="009B11D3" w:rsidP="009B11D3">
      <w:pPr>
        <w:spacing w:before="240" w:after="0"/>
        <w:ind w:firstLine="720"/>
        <w:jc w:val="both"/>
        <w:rPr>
          <w:rFonts w:ascii="Sylfaen" w:eastAsia="Sylfaen" w:hAnsi="Sylfaen"/>
          <w:lang w:val="ka-GE"/>
        </w:rPr>
      </w:pPr>
      <w:r>
        <w:rPr>
          <w:noProof/>
        </w:rPr>
        <w:lastRenderedPageBreak/>
        <w:drawing>
          <wp:inline distT="0" distB="0" distL="0" distR="0" wp14:anchorId="49C1A4E4" wp14:editId="24DF9E83">
            <wp:extent cx="5345430" cy="2636108"/>
            <wp:effectExtent l="0" t="0" r="7620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11D3" w:rsidRDefault="009B11D3" w:rsidP="0056384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44257F7B" wp14:editId="6D987A35">
            <wp:extent cx="5370830" cy="2817340"/>
            <wp:effectExtent l="0" t="0" r="1270" b="25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11D3" w:rsidRPr="009B11D3" w:rsidRDefault="009B11D3" w:rsidP="0056384C">
      <w:pPr>
        <w:ind w:firstLine="720"/>
        <w:jc w:val="both"/>
        <w:rPr>
          <w:rFonts w:ascii="Sylfaen" w:hAnsi="Sylfaen"/>
          <w:lang w:val="ka-GE"/>
        </w:rPr>
      </w:pPr>
      <w:r w:rsidRPr="009B11D3">
        <w:rPr>
          <w:rFonts w:ascii="Sylfaen" w:hAnsi="Sylfaen"/>
          <w:lang w:val="ka-GE"/>
        </w:rPr>
        <w:t>მივლინებათა ძირითადი ნაწილი დაფინანსებულ</w:t>
      </w:r>
      <w:r w:rsidR="00AA7C3C">
        <w:rPr>
          <w:rFonts w:ascii="Sylfaen" w:hAnsi="Sylfaen"/>
          <w:lang w:val="ka-GE"/>
        </w:rPr>
        <w:t>ი</w:t>
      </w:r>
      <w:r w:rsidRPr="009B11D3">
        <w:rPr>
          <w:rFonts w:ascii="Sylfaen" w:hAnsi="Sylfaen"/>
          <w:lang w:val="ka-GE"/>
        </w:rPr>
        <w:t>ა მიმწვევი მხარის მიერ.</w:t>
      </w:r>
    </w:p>
    <w:p w:rsidR="009B11D3" w:rsidRDefault="009B11D3" w:rsidP="0056384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inline distT="0" distB="0" distL="0" distR="0" wp14:anchorId="5265C234" wp14:editId="24D81537">
            <wp:extent cx="5346065" cy="2561967"/>
            <wp:effectExtent l="0" t="0" r="6985" b="1016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65A6" w:rsidRPr="0056384C" w:rsidRDefault="00CB65A6" w:rsidP="0056384C">
      <w:pPr>
        <w:ind w:firstLine="720"/>
        <w:jc w:val="both"/>
        <w:rPr>
          <w:rFonts w:ascii="Sylfaen" w:hAnsi="Sylfaen"/>
          <w:b/>
          <w:lang w:val="ka-GE"/>
        </w:rPr>
      </w:pPr>
      <w:r w:rsidRPr="0056384C">
        <w:rPr>
          <w:rFonts w:ascii="Sylfaen" w:hAnsi="Sylfaen"/>
          <w:b/>
          <w:lang w:val="ka-GE"/>
        </w:rPr>
        <w:lastRenderedPageBreak/>
        <w:t>თვისებრივი ანალიზი</w:t>
      </w:r>
    </w:p>
    <w:p w:rsidR="00CB65A6" w:rsidRPr="0056384C" w:rsidRDefault="000A34D5" w:rsidP="0056384C">
      <w:pPr>
        <w:ind w:firstLine="720"/>
        <w:jc w:val="both"/>
        <w:rPr>
          <w:rFonts w:ascii="Sylfaen" w:hAnsi="Sylfaen"/>
          <w:b/>
          <w:lang w:val="ka-GE"/>
        </w:rPr>
      </w:pPr>
      <w:r w:rsidRPr="0056384C">
        <w:rPr>
          <w:rFonts w:ascii="Sylfaen" w:hAnsi="Sylfaen"/>
          <w:b/>
          <w:lang w:val="ka-GE"/>
        </w:rPr>
        <w:t xml:space="preserve">საზღვარგარეთ მივლინებაზე გადაწყვეტილების მიღების პროცესი: </w:t>
      </w:r>
    </w:p>
    <w:p w:rsidR="000A34D5" w:rsidRDefault="000A34D5" w:rsidP="000A34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საზღვარგარეთ მივლინების შიდა პოლიტიკა განსაზღვრულია მინისტრის ბრძანებით</w:t>
      </w:r>
      <w:r w:rsidR="0056384C">
        <w:rPr>
          <w:rStyle w:val="FootnoteReference"/>
          <w:rFonts w:ascii="Sylfaen" w:hAnsi="Sylfaen"/>
          <w:lang w:val="ka-GE"/>
        </w:rPr>
        <w:footnoteReference w:id="1"/>
      </w:r>
      <w:r>
        <w:rPr>
          <w:rFonts w:ascii="Sylfaen" w:hAnsi="Sylfaen"/>
          <w:lang w:val="ka-GE"/>
        </w:rPr>
        <w:t>. აღნიშნული აქტის თანახმად, სტრუქტურული ქვედანაყოფების უფროსების საზღვარგარეთ მივლინების განხორციელების საჭიროება უნდა შეთანხმდეს კურატორ მინისტრის მოადგილესთან, ხოლო შემდეგ - მინისტრთან. მინისტრის თანხმობის შემთხვევაში ხორციელდება მივლინების ოფიციალური პროცედურა.</w:t>
      </w:r>
    </w:p>
    <w:p w:rsidR="000A34D5" w:rsidRDefault="000A34D5" w:rsidP="000A34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ცენტრალური აპარატის სხვა თანამშრომლებს, მათი </w:t>
      </w:r>
      <w:r w:rsidR="007C50CA">
        <w:rPr>
          <w:rFonts w:ascii="Sylfaen" w:hAnsi="Sylfaen"/>
          <w:lang w:val="ka-GE"/>
        </w:rPr>
        <w:t xml:space="preserve">მივლინება, </w:t>
      </w:r>
      <w:r>
        <w:rPr>
          <w:rFonts w:ascii="Sylfaen" w:hAnsi="Sylfaen"/>
          <w:lang w:val="ka-GE"/>
        </w:rPr>
        <w:t xml:space="preserve"> დეპარტამენტის </w:t>
      </w:r>
      <w:r w:rsidR="007C50CA">
        <w:rPr>
          <w:rFonts w:ascii="Sylfaen" w:hAnsi="Sylfaen"/>
          <w:lang w:val="ka-GE"/>
        </w:rPr>
        <w:t>უფროს</w:t>
      </w:r>
      <w:r>
        <w:rPr>
          <w:rFonts w:ascii="Sylfaen" w:hAnsi="Sylfaen"/>
          <w:lang w:val="ka-GE"/>
        </w:rPr>
        <w:t>ი</w:t>
      </w:r>
      <w:r w:rsidR="007C50C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კურატორი მინისტრის </w:t>
      </w:r>
      <w:r w:rsidR="007C50CA">
        <w:rPr>
          <w:rFonts w:ascii="Sylfaen" w:hAnsi="Sylfaen"/>
          <w:lang w:val="ka-GE"/>
        </w:rPr>
        <w:t>მოადგილ</w:t>
      </w:r>
      <w:r>
        <w:rPr>
          <w:rFonts w:ascii="Sylfaen" w:hAnsi="Sylfaen"/>
          <w:lang w:val="ka-GE"/>
        </w:rPr>
        <w:t>ი</w:t>
      </w:r>
      <w:r w:rsidR="007C50CA">
        <w:rPr>
          <w:rFonts w:ascii="Sylfaen" w:hAnsi="Sylfaen"/>
          <w:lang w:val="ka-GE"/>
        </w:rPr>
        <w:t>ს თანხმობის შემთხვევაში, თანხმდება მინისტრთან, ხოლო შემდეგ ხორციელდება მივლინების ოფიციალური პროცედურა</w:t>
      </w:r>
      <w:r>
        <w:rPr>
          <w:rFonts w:ascii="Sylfaen" w:hAnsi="Sylfaen"/>
          <w:lang w:val="ka-GE"/>
        </w:rPr>
        <w:t>.</w:t>
      </w:r>
    </w:p>
    <w:p w:rsidR="007C50CA" w:rsidRDefault="007C50CA" w:rsidP="000A34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</w:t>
      </w:r>
      <w:r w:rsidR="00511355" w:rsidRPr="00AA7C3C">
        <w:rPr>
          <w:rFonts w:ascii="Sylfaen" w:hAnsi="Sylfaen"/>
          <w:b/>
          <w:lang w:val="ka-GE"/>
        </w:rPr>
        <w:t>მივლინების საჭიროების შეთანხმება და გადაწყვეტილების მიღება ხდება ზეპირსიტყვიერად</w:t>
      </w:r>
      <w:r w:rsidR="00511355">
        <w:rPr>
          <w:rFonts w:ascii="Sylfaen" w:hAnsi="Sylfaen"/>
          <w:lang w:val="ka-GE"/>
        </w:rPr>
        <w:t xml:space="preserve"> და მხოლოდ </w:t>
      </w:r>
      <w:r w:rsidR="00176530">
        <w:rPr>
          <w:rFonts w:ascii="Sylfaen" w:hAnsi="Sylfaen"/>
          <w:lang w:val="ka-GE"/>
        </w:rPr>
        <w:t>აღნიშნულის</w:t>
      </w:r>
      <w:r w:rsidR="00511355">
        <w:rPr>
          <w:rFonts w:ascii="Sylfaen" w:hAnsi="Sylfaen"/>
          <w:lang w:val="ka-GE"/>
        </w:rPr>
        <w:t xml:space="preserve"> შემდეგ </w:t>
      </w:r>
      <w:r w:rsidR="00EF7F77">
        <w:rPr>
          <w:rFonts w:ascii="Sylfaen" w:hAnsi="Sylfaen"/>
          <w:lang w:val="ka-GE"/>
        </w:rPr>
        <w:t xml:space="preserve">მიმართავს </w:t>
      </w:r>
      <w:r w:rsidR="00511355">
        <w:rPr>
          <w:rFonts w:ascii="Sylfaen" w:hAnsi="Sylfaen"/>
          <w:lang w:val="ka-GE"/>
        </w:rPr>
        <w:t>მივლინების განმახორციელებელი პირის დეპარტამენტის ხელმძღვანელი ოფიციალურ</w:t>
      </w:r>
      <w:r w:rsidR="00EF7F77">
        <w:rPr>
          <w:rFonts w:ascii="Sylfaen" w:hAnsi="Sylfaen"/>
          <w:lang w:val="ka-GE"/>
        </w:rPr>
        <w:t>ად</w:t>
      </w:r>
      <w:r w:rsidR="00511355">
        <w:rPr>
          <w:rFonts w:ascii="Sylfaen" w:hAnsi="Sylfaen"/>
          <w:lang w:val="ka-GE"/>
        </w:rPr>
        <w:t xml:space="preserve"> სამინისტროს ანალიტიკის, ადამიანური რესურსების მართვისა და საერთაშორისო ურთიერთობების დეპარტამენტს</w:t>
      </w:r>
      <w:r w:rsidR="00EF7F77">
        <w:rPr>
          <w:rFonts w:ascii="Sylfaen" w:hAnsi="Sylfaen"/>
          <w:lang w:val="ka-GE"/>
        </w:rPr>
        <w:t>.</w:t>
      </w:r>
      <w:r w:rsidR="00511355">
        <w:rPr>
          <w:rFonts w:ascii="Sylfaen" w:hAnsi="Sylfaen"/>
          <w:lang w:val="ka-GE"/>
        </w:rPr>
        <w:t xml:space="preserve"> როგორც დამკვიდრებული პრაქტიკის ანალიზი ცხადჰყოფს, </w:t>
      </w:r>
      <w:r w:rsidR="00EF7F77">
        <w:rPr>
          <w:rFonts w:ascii="Sylfaen" w:hAnsi="Sylfaen"/>
          <w:lang w:val="ka-GE"/>
        </w:rPr>
        <w:t xml:space="preserve">აღნიშნულ მიმართვაზე ვიზირებით </w:t>
      </w:r>
      <w:r w:rsidR="00511355">
        <w:rPr>
          <w:rFonts w:ascii="Sylfaen" w:hAnsi="Sylfaen"/>
          <w:lang w:val="ka-GE"/>
        </w:rPr>
        <w:t>კურატორი მოადგილის თანხმობა ოფიციალურად არ ფორმდება</w:t>
      </w:r>
      <w:r w:rsidR="00EF7F77">
        <w:rPr>
          <w:rFonts w:ascii="Sylfaen" w:hAnsi="Sylfaen"/>
          <w:lang w:val="ka-GE"/>
        </w:rPr>
        <w:t xml:space="preserve">. ამდენად, შეთანხმების პროცესის შესაბამისობის </w:t>
      </w:r>
      <w:r w:rsidR="00176530">
        <w:rPr>
          <w:rFonts w:ascii="Sylfaen" w:hAnsi="Sylfaen"/>
          <w:lang w:val="ka-GE"/>
        </w:rPr>
        <w:t xml:space="preserve">სრული </w:t>
      </w:r>
      <w:r w:rsidR="00EF7F77">
        <w:rPr>
          <w:rFonts w:ascii="Sylfaen" w:hAnsi="Sylfaen"/>
          <w:lang w:val="ka-GE"/>
        </w:rPr>
        <w:t>შეფასება ბრძანების მოთხოვნებთან შეუძლებელია</w:t>
      </w:r>
      <w:r w:rsidR="00511355">
        <w:rPr>
          <w:rFonts w:ascii="Sylfaen" w:hAnsi="Sylfaen"/>
          <w:lang w:val="ka-GE"/>
        </w:rPr>
        <w:t xml:space="preserve"> შესაბამის</w:t>
      </w:r>
      <w:r w:rsidR="00EF7F77">
        <w:rPr>
          <w:rFonts w:ascii="Sylfaen" w:hAnsi="Sylfaen"/>
          <w:lang w:val="ka-GE"/>
        </w:rPr>
        <w:t>ი</w:t>
      </w:r>
      <w:r w:rsidR="00511355">
        <w:rPr>
          <w:rFonts w:ascii="Sylfaen" w:hAnsi="Sylfaen"/>
          <w:lang w:val="ka-GE"/>
        </w:rPr>
        <w:t xml:space="preserve"> დოკუმენტურ</w:t>
      </w:r>
      <w:r w:rsidR="00EF7F77">
        <w:rPr>
          <w:rFonts w:ascii="Sylfaen" w:hAnsi="Sylfaen"/>
          <w:lang w:val="ka-GE"/>
        </w:rPr>
        <w:t>ი მტკიცებულებების</w:t>
      </w:r>
      <w:r w:rsidR="00511355">
        <w:rPr>
          <w:rFonts w:ascii="Sylfaen" w:hAnsi="Sylfaen"/>
          <w:lang w:val="ka-GE"/>
        </w:rPr>
        <w:t xml:space="preserve"> </w:t>
      </w:r>
      <w:r w:rsidR="00EF7F77">
        <w:rPr>
          <w:rFonts w:ascii="Sylfaen" w:hAnsi="Sylfaen"/>
          <w:lang w:val="ka-GE"/>
        </w:rPr>
        <w:t>არარსებობის გამო.</w:t>
      </w:r>
    </w:p>
    <w:p w:rsidR="00176530" w:rsidRDefault="00176530" w:rsidP="000A34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თუმცა, აღსანიშნავია, რომ მივლინების განმახორციელებელი პირებისგან მიღებული განმარტებების ანალიზით გამოიკვეთა რამდენიმე შემთხვევა, როცა მივლინების წინასწარი შეთანხმება არ მოხდა უშუალო კურატორთან</w:t>
      </w:r>
      <w:r w:rsidR="00D02BC9">
        <w:rPr>
          <w:rFonts w:ascii="Sylfaen" w:hAnsi="Sylfaen"/>
          <w:lang w:val="ka-GE"/>
        </w:rPr>
        <w:t xml:space="preserve"> - მინისტრთან</w:t>
      </w:r>
      <w:r>
        <w:rPr>
          <w:rFonts w:ascii="Sylfaen" w:hAnsi="Sylfaen"/>
          <w:lang w:val="ka-GE"/>
        </w:rPr>
        <w:t xml:space="preserve">. ასე, მაგალითად: ინფორმაციული ტექნოლოგიების დეპარტამენტის ხელმძღვანელის მივლინება ზეპირსიტყვიერად შეთანხმდა არა მინისტრთან (უშალო კურატორი), არამედ </w:t>
      </w:r>
      <w:r w:rsidR="008B200F">
        <w:rPr>
          <w:rFonts w:ascii="Sylfaen" w:hAnsi="Sylfaen"/>
          <w:lang w:val="ka-GE"/>
        </w:rPr>
        <w:t xml:space="preserve">მინისტრის მოადგილესთან, რომლის კოორდინაციაშიც იყო განსაზღვრული მივლინებასთან დაკავშირებული თემა (1 შეთხვევაში - მაია ლაგვილავასთან, 2 შემთხვევაში - ზაზა ბოხუასთან). </w:t>
      </w:r>
      <w:r w:rsidR="00F21911">
        <w:rPr>
          <w:rFonts w:ascii="Sylfaen" w:hAnsi="Sylfaen"/>
          <w:lang w:val="ka-GE"/>
        </w:rPr>
        <w:t>ასე, რომ</w:t>
      </w:r>
      <w:r w:rsidR="008B200F">
        <w:rPr>
          <w:rFonts w:ascii="Sylfaen" w:hAnsi="Sylfaen"/>
          <w:lang w:val="ka-GE"/>
        </w:rPr>
        <w:t xml:space="preserve"> </w:t>
      </w:r>
      <w:r w:rsidR="00F21911">
        <w:rPr>
          <w:rFonts w:ascii="Sylfaen" w:hAnsi="Sylfaen"/>
          <w:lang w:val="ka-GE"/>
        </w:rPr>
        <w:t xml:space="preserve">ინფორმაციული ტექნოლოგიების დეპარტამენტის ხელმძღვანელმა მინისტრთან შეთანხმების გარეშე მიმართა სამინისტროს ანალიტიკის, ადამიანური რესურსების მართვისა და საერთაშორისო ურთიერთობების დეპარტამენტს მივლინების პროცედურების განხორციელების მოთხოვნით. </w:t>
      </w:r>
      <w:r w:rsidR="008B200F" w:rsidRPr="00AA7C3C">
        <w:rPr>
          <w:rFonts w:ascii="Sylfaen" w:hAnsi="Sylfaen"/>
          <w:b/>
          <w:lang w:val="ka-GE"/>
        </w:rPr>
        <w:t xml:space="preserve">აღნიშნული </w:t>
      </w:r>
      <w:r w:rsidR="00F21911" w:rsidRPr="00AA7C3C">
        <w:rPr>
          <w:rFonts w:ascii="Sylfaen" w:hAnsi="Sylfaen"/>
          <w:b/>
          <w:lang w:val="ka-GE"/>
        </w:rPr>
        <w:t xml:space="preserve">ქმედებით დარღვეულია </w:t>
      </w:r>
      <w:r w:rsidR="008B200F" w:rsidRPr="00AA7C3C">
        <w:rPr>
          <w:rFonts w:ascii="Sylfaen" w:hAnsi="Sylfaen"/>
          <w:b/>
          <w:lang w:val="ka-GE"/>
        </w:rPr>
        <w:t>მარეგულირებელი ბრძანების მოთხოვნები.</w:t>
      </w:r>
    </w:p>
    <w:p w:rsidR="00223DA4" w:rsidRDefault="000A34D5" w:rsidP="003207EE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გასათვალისწინებელია</w:t>
      </w:r>
      <w:r w:rsidR="00EF7F77">
        <w:rPr>
          <w:rFonts w:ascii="Sylfaen" w:hAnsi="Sylfaen"/>
          <w:lang w:val="ka-GE"/>
        </w:rPr>
        <w:t xml:space="preserve"> ისიც</w:t>
      </w:r>
      <w:r>
        <w:rPr>
          <w:rFonts w:ascii="Sylfaen" w:hAnsi="Sylfaen"/>
          <w:lang w:val="ka-GE"/>
        </w:rPr>
        <w:t xml:space="preserve">, რომ </w:t>
      </w:r>
      <w:r w:rsidR="008B200F">
        <w:rPr>
          <w:rFonts w:ascii="Sylfaen" w:hAnsi="Sylfaen"/>
          <w:lang w:val="ka-GE"/>
        </w:rPr>
        <w:t>ბრძანების</w:t>
      </w:r>
      <w:r>
        <w:rPr>
          <w:rFonts w:ascii="Sylfaen" w:hAnsi="Sylfaen"/>
          <w:lang w:val="ka-GE"/>
        </w:rPr>
        <w:t xml:space="preserve"> შესაბამისად, საზღვარგარეთ მივლინების განხორციელების </w:t>
      </w:r>
      <w:r w:rsidRPr="00FE0B13">
        <w:rPr>
          <w:rFonts w:ascii="Sylfaen" w:hAnsi="Sylfaen"/>
          <w:b/>
          <w:lang w:val="ka-GE"/>
        </w:rPr>
        <w:t>საჭიროების/აუცილებლობის კრიტერიუმები განსაზღვრული არ არის</w:t>
      </w:r>
      <w:r w:rsidR="00501E0D" w:rsidRPr="00FE0B13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გადაწყვეტილების მიღება ხორციელდება გადაწყვეტილების მიმღებ პირთან სიტყვიერი შეთანხმებისას კონკრეტული ინდივიდუალური საკითხიდან გამომდინარე. შესაბამისად, </w:t>
      </w:r>
      <w:r w:rsidRPr="00FE0B13">
        <w:rPr>
          <w:rFonts w:ascii="Sylfaen" w:hAnsi="Sylfaen"/>
          <w:b/>
          <w:lang w:val="ka-GE"/>
        </w:rPr>
        <w:t>მივლინებების აუცილებლობის დასაბუთების გათვალისწინების მდგომარეობა გადაწყვეტილების მიღების პროცესში ვერ შეფასდა შესაბამისი ინფორმაციის არარსებობის გამო.</w:t>
      </w:r>
      <w:r>
        <w:rPr>
          <w:rFonts w:ascii="Sylfaen" w:hAnsi="Sylfaen"/>
          <w:lang w:val="ka-GE"/>
        </w:rPr>
        <w:t xml:space="preserve"> </w:t>
      </w:r>
    </w:p>
    <w:p w:rsidR="003207EE" w:rsidRPr="0065798E" w:rsidRDefault="00223DA4" w:rsidP="00BF4F3D">
      <w:pPr>
        <w:spacing w:before="240"/>
        <w:ind w:firstLine="72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Pr="00917381">
        <w:rPr>
          <w:rFonts w:ascii="Sylfaen" w:hAnsi="Sylfaen"/>
          <w:b/>
          <w:lang w:val="ka-GE"/>
        </w:rPr>
        <w:t>არაოფიციალურ პოლიტიკას,</w:t>
      </w:r>
      <w:r>
        <w:rPr>
          <w:rFonts w:ascii="Sylfaen" w:hAnsi="Sylfaen"/>
          <w:lang w:val="ka-GE"/>
        </w:rPr>
        <w:t xml:space="preserve"> </w:t>
      </w:r>
      <w:r w:rsidR="000A34D5">
        <w:rPr>
          <w:rFonts w:ascii="Sylfaen" w:hAnsi="Sylfaen"/>
          <w:lang w:val="ka-GE"/>
        </w:rPr>
        <w:t xml:space="preserve">უნდა აღინიშნოს, რომ </w:t>
      </w:r>
      <w:r w:rsidR="003207EE">
        <w:rPr>
          <w:rFonts w:ascii="Sylfaen" w:hAnsi="Sylfaen"/>
          <w:lang w:val="ka-GE"/>
        </w:rPr>
        <w:t>როგორც მიღებული განმარტებებით ირკვევა, მივლინებ</w:t>
      </w:r>
      <w:r w:rsidR="004F61AC">
        <w:rPr>
          <w:rFonts w:ascii="Sylfaen" w:hAnsi="Sylfaen"/>
          <w:lang w:val="ka-GE"/>
        </w:rPr>
        <w:t>ებთან დაკავშირებით</w:t>
      </w:r>
      <w:r w:rsidR="003207EE">
        <w:rPr>
          <w:rFonts w:ascii="Sylfaen" w:hAnsi="Sylfaen"/>
          <w:lang w:val="ka-GE"/>
        </w:rPr>
        <w:t xml:space="preserve"> გადაწყვეტილები</w:t>
      </w:r>
      <w:r w:rsidR="00FE0B13">
        <w:rPr>
          <w:rFonts w:ascii="Sylfaen" w:hAnsi="Sylfaen"/>
          <w:lang w:val="ka-GE"/>
        </w:rPr>
        <w:t>ს მიღების</w:t>
      </w:r>
      <w:r w:rsidR="003207EE">
        <w:rPr>
          <w:rFonts w:ascii="Sylfaen" w:hAnsi="Sylfaen"/>
          <w:lang w:val="ka-GE"/>
        </w:rPr>
        <w:t xml:space="preserve"> ძირითად </w:t>
      </w:r>
      <w:r w:rsidR="00F21911">
        <w:rPr>
          <w:rFonts w:ascii="Sylfaen" w:hAnsi="Sylfaen"/>
          <w:lang w:val="ka-GE"/>
        </w:rPr>
        <w:lastRenderedPageBreak/>
        <w:t>საფუძველს</w:t>
      </w:r>
      <w:r w:rsidR="003207EE">
        <w:rPr>
          <w:rFonts w:ascii="Sylfaen" w:hAnsi="Sylfaen"/>
          <w:lang w:val="ka-GE"/>
        </w:rPr>
        <w:t xml:space="preserve"> წარმოადგენს</w:t>
      </w:r>
      <w:r w:rsidR="00501E0D">
        <w:rPr>
          <w:rFonts w:ascii="Sylfaen" w:hAnsi="Sylfaen"/>
          <w:lang w:val="ka-GE"/>
        </w:rPr>
        <w:t>,</w:t>
      </w:r>
      <w:r w:rsidR="003207E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სწორედ, </w:t>
      </w:r>
      <w:r w:rsidR="00F21911">
        <w:rPr>
          <w:rFonts w:ascii="Sylfaen" w:hAnsi="Sylfaen"/>
          <w:lang w:val="ka-GE"/>
        </w:rPr>
        <w:t xml:space="preserve">განსახილველ </w:t>
      </w:r>
      <w:r w:rsidR="003207EE">
        <w:rPr>
          <w:rFonts w:ascii="Sylfaen" w:hAnsi="Sylfaen"/>
          <w:lang w:val="ka-GE"/>
        </w:rPr>
        <w:t xml:space="preserve">პერიოდში </w:t>
      </w:r>
      <w:r>
        <w:rPr>
          <w:rFonts w:ascii="Sylfaen" w:hAnsi="Sylfaen"/>
          <w:lang w:val="ka-GE"/>
        </w:rPr>
        <w:t>დ</w:t>
      </w:r>
      <w:r w:rsidR="003207EE">
        <w:rPr>
          <w:rFonts w:ascii="Sylfaen" w:hAnsi="Sylfaen"/>
          <w:lang w:val="ka-GE"/>
        </w:rPr>
        <w:t xml:space="preserve">აფიქსირებული საერთო მიდგომა. ასე, მაგალითად: 2013-2014 </w:t>
      </w:r>
      <w:r w:rsidR="003207EE">
        <w:rPr>
          <w:rFonts w:ascii="Sylfaen" w:eastAsia="Sylfaen" w:hAnsi="Sylfaen"/>
          <w:lang w:val="ka-GE"/>
        </w:rPr>
        <w:t xml:space="preserve">წლებში </w:t>
      </w:r>
      <w:r w:rsidR="00501E0D">
        <w:rPr>
          <w:rFonts w:ascii="Sylfaen" w:eastAsia="Sylfaen" w:hAnsi="Sylfaen"/>
          <w:lang w:val="ka-GE"/>
        </w:rPr>
        <w:t>მივლინებების რაოდენობის მკვეთრი შემცირება განაპირობა მისი</w:t>
      </w:r>
      <w:r w:rsidR="003207EE">
        <w:rPr>
          <w:rFonts w:ascii="Sylfaen" w:eastAsia="Sylfaen" w:hAnsi="Sylfaen"/>
          <w:lang w:val="ka-GE"/>
        </w:rPr>
        <w:t xml:space="preserve"> განხორციელები</w:t>
      </w:r>
      <w:r w:rsidR="00AA7C3C">
        <w:rPr>
          <w:rFonts w:ascii="Sylfaen" w:eastAsia="Sylfaen" w:hAnsi="Sylfaen"/>
          <w:lang w:val="ka-GE"/>
        </w:rPr>
        <w:t>ს</w:t>
      </w:r>
      <w:r w:rsidR="003207EE">
        <w:rPr>
          <w:rFonts w:ascii="Sylfaen" w:eastAsia="Sylfaen" w:hAnsi="Sylfaen"/>
          <w:lang w:val="ka-GE"/>
        </w:rPr>
        <w:t>გან თავის შეკავებ</w:t>
      </w:r>
      <w:r w:rsidR="00501E0D">
        <w:rPr>
          <w:rFonts w:ascii="Sylfaen" w:eastAsia="Sylfaen" w:hAnsi="Sylfaen"/>
          <w:lang w:val="ka-GE"/>
        </w:rPr>
        <w:t>ამ შესაბამისი პირების მიერ. აღნიშნულის</w:t>
      </w:r>
      <w:r w:rsidR="003207EE">
        <w:rPr>
          <w:rFonts w:ascii="Sylfaen" w:eastAsia="Sylfaen" w:hAnsi="Sylfaen"/>
          <w:lang w:val="ka-GE"/>
        </w:rPr>
        <w:t xml:space="preserve"> ძირითად მოტივად დასახელდა</w:t>
      </w:r>
      <w:r w:rsidR="003207EE" w:rsidRPr="0065798E">
        <w:rPr>
          <w:rFonts w:ascii="Sylfaen" w:eastAsia="Sylfaen" w:hAnsi="Sylfaen"/>
          <w:lang w:val="ka-GE"/>
        </w:rPr>
        <w:t xml:space="preserve"> ძირეული რეფორმები, რომლებიც ამ პერიოდში დაიწყო და შესაბამის ვადებში ხორციელდებოდა</w:t>
      </w:r>
      <w:r w:rsidR="00917381">
        <w:rPr>
          <w:rFonts w:ascii="Sylfaen" w:eastAsia="Sylfaen" w:hAnsi="Sylfaen"/>
          <w:lang w:val="ka-GE"/>
        </w:rPr>
        <w:t xml:space="preserve">. </w:t>
      </w:r>
      <w:r w:rsidR="006511BD">
        <w:rPr>
          <w:rFonts w:ascii="Sylfaen" w:eastAsia="Sylfaen" w:hAnsi="Sylfaen"/>
          <w:lang w:val="ka-GE"/>
        </w:rPr>
        <w:t xml:space="preserve">მიღებული განმარტებების თანახმად, </w:t>
      </w:r>
      <w:r w:rsidR="003207EE" w:rsidRPr="0065798E">
        <w:rPr>
          <w:rFonts w:ascii="Sylfaen" w:eastAsia="Sylfaen" w:hAnsi="Sylfaen"/>
          <w:lang w:val="ka-GE"/>
        </w:rPr>
        <w:t xml:space="preserve">აღნიშნული რეფორმების კონცეფციების შემუშავება და დანერგვა იყო ის მთავარი მიზეზი, რომელიც </w:t>
      </w:r>
      <w:r w:rsidR="003207EE" w:rsidRPr="0065798E">
        <w:rPr>
          <w:rFonts w:ascii="Sylfaen" w:eastAsia="Sylfaen" w:hAnsi="Sylfaen"/>
          <w:b/>
          <w:lang w:val="ka-GE"/>
        </w:rPr>
        <w:t>სამინისტროს პასუხისმგებელი პირებისაგან მოითხოვდა, ძირითადად, სამუშაო ადგილებზე ყოფნასა და</w:t>
      </w:r>
      <w:r w:rsidR="003207EE" w:rsidRPr="0065798E">
        <w:rPr>
          <w:rFonts w:ascii="Sylfaen" w:eastAsia="Sylfaen" w:hAnsi="Sylfaen"/>
          <w:lang w:val="ka-GE"/>
        </w:rPr>
        <w:t xml:space="preserve"> </w:t>
      </w:r>
      <w:r w:rsidR="003207EE" w:rsidRPr="0065798E">
        <w:rPr>
          <w:rFonts w:ascii="Sylfaen" w:eastAsia="Sylfaen" w:hAnsi="Sylfaen"/>
          <w:b/>
          <w:lang w:val="ka-GE"/>
        </w:rPr>
        <w:t>მივლინებებზე უარის თქმას</w:t>
      </w:r>
      <w:r w:rsidR="00BF4F3D">
        <w:rPr>
          <w:rFonts w:ascii="Sylfaen" w:eastAsia="Sylfaen" w:hAnsi="Sylfaen"/>
          <w:b/>
          <w:lang w:val="ka-GE"/>
        </w:rPr>
        <w:t>.</w:t>
      </w:r>
    </w:p>
    <w:p w:rsidR="000A34D5" w:rsidRDefault="00917381" w:rsidP="000A34D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="00F21911">
        <w:rPr>
          <w:rFonts w:ascii="Sylfaen" w:hAnsi="Sylfaen"/>
          <w:lang w:val="ka-GE"/>
        </w:rPr>
        <w:t>2015 წლიდან</w:t>
      </w:r>
      <w:r>
        <w:rPr>
          <w:rFonts w:ascii="Sylfaen" w:hAnsi="Sylfaen"/>
          <w:lang w:val="ka-GE"/>
        </w:rPr>
        <w:t xml:space="preserve"> პერიოდს, </w:t>
      </w:r>
      <w:r w:rsidR="00F21911">
        <w:rPr>
          <w:rFonts w:ascii="Sylfaen" w:hAnsi="Sylfaen"/>
          <w:lang w:val="ka-GE"/>
        </w:rPr>
        <w:t xml:space="preserve">მიღებული განმარტებების მიხედვით, </w:t>
      </w:r>
      <w:r w:rsidRPr="00AA7C3C">
        <w:rPr>
          <w:rFonts w:ascii="Sylfaen" w:hAnsi="Sylfaen"/>
          <w:b/>
          <w:lang w:val="ka-GE"/>
        </w:rPr>
        <w:t xml:space="preserve">აღნიშნული მიდგომა შეიცვალა და </w:t>
      </w:r>
      <w:r w:rsidR="00F21911" w:rsidRPr="00AA7C3C">
        <w:rPr>
          <w:rFonts w:ascii="Sylfaen" w:hAnsi="Sylfaen"/>
          <w:b/>
          <w:lang w:val="ka-GE"/>
        </w:rPr>
        <w:t xml:space="preserve">სამინისტროს მენეჯმენტის მიერ </w:t>
      </w:r>
      <w:r w:rsidRPr="00AA7C3C">
        <w:rPr>
          <w:rFonts w:ascii="Sylfaen" w:hAnsi="Sylfaen"/>
          <w:b/>
          <w:lang w:val="ka-GE"/>
        </w:rPr>
        <w:t>მიზანშეწონილად ჩაითვალა როგორც საერთაშორისო საზოგადოების მეტი ინფორმირებულობა ჩვენს სფეროებში მიმდინარე პროცესების თაობაზე, ასევე, უცხოური გამოცდილების დაუფლებისა და გამოცდილების გაზიარების მიზნით ვიზიტების განხორციელება</w:t>
      </w:r>
      <w:r w:rsidR="00BF4F3D" w:rsidRPr="00AA7C3C">
        <w:rPr>
          <w:rFonts w:ascii="Sylfaen" w:hAnsi="Sylfaen"/>
          <w:b/>
          <w:lang w:val="ka-GE"/>
        </w:rPr>
        <w:t xml:space="preserve">, </w:t>
      </w:r>
      <w:r w:rsidR="00BF4F3D">
        <w:rPr>
          <w:rFonts w:ascii="Sylfaen" w:hAnsi="Sylfaen"/>
          <w:lang w:val="ka-GE"/>
        </w:rPr>
        <w:t>რაზეც მეტყველებს შესაბამის კურატორთან შეთანხმებით ინდივიდუალური სამართლებრივი აქტების გამოცემა.</w:t>
      </w:r>
    </w:p>
    <w:p w:rsidR="00053977" w:rsidRDefault="00053977" w:rsidP="000A34D5">
      <w:pPr>
        <w:pStyle w:val="ListParagraph"/>
        <w:ind w:left="0"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</w:p>
    <w:p w:rsidR="000A34D5" w:rsidRPr="00D56AA6" w:rsidRDefault="00053977" w:rsidP="00255A9E">
      <w:pPr>
        <w:pStyle w:val="ListParagraph"/>
        <w:ind w:left="0"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D56AA6">
        <w:rPr>
          <w:rFonts w:ascii="Sylfaen" w:hAnsi="Sylfaen"/>
          <w:b/>
          <w:color w:val="000000"/>
          <w:shd w:val="clear" w:color="auto" w:fill="FFFFFF"/>
          <w:lang w:val="ka-GE"/>
        </w:rPr>
        <w:t>საერთაშორისო ინტერესისა და შესაბამისად, მოწვევების რაოდენობის კავშირი მივლინებ</w:t>
      </w:r>
      <w:r w:rsidR="00255A9E">
        <w:rPr>
          <w:rFonts w:ascii="Sylfaen" w:hAnsi="Sylfaen"/>
          <w:b/>
          <w:color w:val="000000"/>
          <w:shd w:val="clear" w:color="auto" w:fill="FFFFFF"/>
          <w:lang w:val="ka-GE"/>
        </w:rPr>
        <w:t>ა</w:t>
      </w:r>
      <w:r w:rsidRPr="00D56AA6">
        <w:rPr>
          <w:rFonts w:ascii="Sylfaen" w:hAnsi="Sylfaen"/>
          <w:b/>
          <w:color w:val="000000"/>
          <w:shd w:val="clear" w:color="auto" w:fill="FFFFFF"/>
          <w:lang w:val="ka-GE"/>
        </w:rPr>
        <w:t>თა სიხშირესთან</w:t>
      </w:r>
    </w:p>
    <w:p w:rsidR="00250242" w:rsidRDefault="00053977" w:rsidP="00255A9E">
      <w:pPr>
        <w:ind w:firstLine="720"/>
        <w:jc w:val="both"/>
        <w:rPr>
          <w:rFonts w:ascii="Sylfaen" w:hAnsi="Sylfaen"/>
          <w:lang w:val="ka-GE"/>
        </w:rPr>
      </w:pPr>
      <w:r w:rsidRPr="00255A9E">
        <w:rPr>
          <w:rFonts w:ascii="Sylfaen" w:hAnsi="Sylfaen"/>
          <w:lang w:val="ka-GE"/>
        </w:rPr>
        <w:t xml:space="preserve">ანალიზის ერთ-ერთ მიმართულებას წარმოადგენდა იმის გარკვევა, რამდენად განაპირობა საერთაშორისო ინტერესის ზრდამ მივლინებათა რაოდენობის მატება. ამ მიზნით შევეცადეთ, მოგვეპოვებინა სრული ინფორმაცია გასულ წლებში სამინისტროში შემოსული მოწვევების შესახებ. თუმცა, როგორც ირკვევა,  მოწვევების </w:t>
      </w:r>
      <w:r w:rsidR="006511BD">
        <w:rPr>
          <w:rFonts w:ascii="Sylfaen" w:hAnsi="Sylfaen"/>
          <w:lang w:val="ka-GE"/>
        </w:rPr>
        <w:t>გარკვეული</w:t>
      </w:r>
      <w:r w:rsidRPr="00255A9E">
        <w:rPr>
          <w:rFonts w:ascii="Sylfaen" w:hAnsi="Sylfaen"/>
          <w:lang w:val="ka-GE"/>
        </w:rPr>
        <w:t xml:space="preserve"> რაოდენობა შემოდის სამსახურებრივი ელექტრონული ფოსტის მეშვეობით, ხოლო მათი ელექტრონული დოკუმენტბრუნვის სისტემაში (შემდგომში - დეს) დარეგისტრირების </w:t>
      </w:r>
      <w:r w:rsidR="00C01B0D" w:rsidRPr="00255A9E">
        <w:rPr>
          <w:rFonts w:ascii="Sylfaen" w:hAnsi="Sylfaen"/>
          <w:lang w:val="ka-GE"/>
        </w:rPr>
        <w:t>საკითხი დაკავშირებულია წინასწარ შეთანხმებასთან როგორც უშუალო ხელმძღვანელ პირთან, ასევე, კურატორთან. ამდენად, დეს-ში რეგისტრირდება მხოლოდ ის მოწვევები, რომლებ</w:t>
      </w:r>
      <w:r w:rsidR="006511BD">
        <w:rPr>
          <w:rFonts w:ascii="Sylfaen" w:hAnsi="Sylfaen"/>
          <w:lang w:val="ka-GE"/>
        </w:rPr>
        <w:t>იც შემოსულია სამინისტროს ოფიციალურ ვებ.გვერდზე ან/და</w:t>
      </w:r>
      <w:r w:rsidR="00250242">
        <w:rPr>
          <w:rFonts w:ascii="Sylfaen" w:hAnsi="Sylfaen"/>
          <w:lang w:val="ka-GE"/>
        </w:rPr>
        <w:t xml:space="preserve"> შესაბამისი პირებისგან</w:t>
      </w:r>
      <w:r w:rsidR="00C01B0D" w:rsidRPr="00255A9E">
        <w:rPr>
          <w:rFonts w:ascii="Sylfaen" w:hAnsi="Sylfaen"/>
          <w:lang w:val="ka-GE"/>
        </w:rPr>
        <w:t xml:space="preserve"> წინასწარ ზეპირსიტყვიერი თანხმობაა გაცემული</w:t>
      </w:r>
      <w:r w:rsidR="00250242">
        <w:rPr>
          <w:rFonts w:ascii="Sylfaen" w:hAnsi="Sylfaen"/>
          <w:lang w:val="ka-GE"/>
        </w:rPr>
        <w:t xml:space="preserve"> მივლინების განხორციელებაზე</w:t>
      </w:r>
      <w:r w:rsidR="00C01B0D" w:rsidRPr="00255A9E">
        <w:rPr>
          <w:rFonts w:ascii="Sylfaen" w:hAnsi="Sylfaen"/>
          <w:lang w:val="ka-GE"/>
        </w:rPr>
        <w:t xml:space="preserve">. </w:t>
      </w:r>
    </w:p>
    <w:p w:rsidR="00250242" w:rsidRPr="00AA7C3C" w:rsidRDefault="00250242" w:rsidP="00250242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უნდა აღინიშნოს, რომ მარეგულირებელი ბრძანების მიხედვით, სამინისტროში შემოსული ნებისმიერი დოკუმენტი/წერილი, რომელიც შეიცავს ინფორმაციას უცხოეთში დაგეგმილ ღონისძიებაზე ან უკავშირდება ოფიციალურ მოწვევას, შემდგომი რეაგირების მიზნით, უნდა გაეგზავნოს სამინისტროს ანალიტიკის, ადამიანური რესურსების მართვისა და საერთაშორისო ურთიერთობების დეპარტამენტს. თუმცა, როგორც აღინიშნა, </w:t>
      </w:r>
      <w:r w:rsidRPr="00AA7C3C">
        <w:rPr>
          <w:rFonts w:ascii="Sylfaen" w:hAnsi="Sylfaen"/>
          <w:b/>
          <w:lang w:val="ka-GE"/>
        </w:rPr>
        <w:t xml:space="preserve">არ ხდება ამ მოთხოვნის სრული დაცვა. შესაბამისად, შეიძლება ითქვას, რომ  სამინისტრო არასაკმარისად ფლობს ინფორმაციას საერთაშორისო მოწვევების შესახებ, რაც ამცირებს საერთაშორისო ინტერესის შეფასების, შესაბამისი მიმართულებით ანალიზისა და საჭირო გადაწყვეტილებების მიღების შესაძლებლობას. </w:t>
      </w:r>
    </w:p>
    <w:p w:rsidR="00250242" w:rsidRDefault="00250242" w:rsidP="0025024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გასათვალისწინებელია ისიც, რომ აღნიშნული პრაქტიკა სამინისტროში დამკვიდრებულია წლების განმავლობაში, ამდენად, დინამიკის დადგენა და ანალიზი არც გასული პერიოდებისთვისაა შესაძლებელი.</w:t>
      </w:r>
    </w:p>
    <w:p w:rsidR="00250242" w:rsidRPr="00255A9E" w:rsidRDefault="00250242" w:rsidP="00250242">
      <w:pPr>
        <w:ind w:firstLine="720"/>
        <w:jc w:val="both"/>
        <w:rPr>
          <w:rFonts w:ascii="Sylfaen" w:hAnsi="Sylfaen"/>
          <w:lang w:val="ka-GE"/>
        </w:rPr>
      </w:pPr>
      <w:r w:rsidRPr="00255A9E">
        <w:rPr>
          <w:rFonts w:ascii="Sylfaen" w:hAnsi="Sylfaen"/>
          <w:lang w:val="ka-GE"/>
        </w:rPr>
        <w:lastRenderedPageBreak/>
        <w:t xml:space="preserve">შესაბამისად, ვფიქრობთ, </w:t>
      </w:r>
      <w:r w:rsidRPr="00AA7C3C">
        <w:rPr>
          <w:rFonts w:ascii="Sylfaen" w:hAnsi="Sylfaen"/>
          <w:b/>
          <w:lang w:val="ka-GE"/>
        </w:rPr>
        <w:t xml:space="preserve">უნდა </w:t>
      </w:r>
      <w:r w:rsidR="007D0B44" w:rsidRPr="00AA7C3C">
        <w:rPr>
          <w:rFonts w:ascii="Sylfaen" w:hAnsi="Sylfaen"/>
          <w:b/>
          <w:lang w:val="ka-GE"/>
        </w:rPr>
        <w:t>გამკაცრდეს</w:t>
      </w:r>
      <w:r w:rsidRPr="00AA7C3C">
        <w:rPr>
          <w:rFonts w:ascii="Sylfaen" w:hAnsi="Sylfaen"/>
          <w:b/>
          <w:lang w:val="ka-GE"/>
        </w:rPr>
        <w:t xml:space="preserve"> სამინისტროში ნებისმიერი სახით შემოსული საერთაშორისო მოწვევის დოკუმენტის დეს-ში რეგისტრირების  ვალდებულება,</w:t>
      </w:r>
      <w:r w:rsidRPr="00255A9E">
        <w:rPr>
          <w:rFonts w:ascii="Sylfaen" w:hAnsi="Sylfaen"/>
          <w:lang w:val="ka-GE"/>
        </w:rPr>
        <w:t xml:space="preserve"> რაც ხელს შეუწყობს პირველ რიგში საერთაშორისო პარტნიორებთან ურთიერთობის შესახებ სრული სურათის გამოკვეთას, ასევე, უფრო ნათელს გახდის თითოეული მოწვევის თაობაზე გადაწყვეტილების საფუძველს.</w:t>
      </w:r>
    </w:p>
    <w:p w:rsidR="00250242" w:rsidRDefault="00250242" w:rsidP="00255A9E">
      <w:pPr>
        <w:ind w:firstLine="720"/>
        <w:jc w:val="both"/>
        <w:rPr>
          <w:rFonts w:ascii="Sylfaen" w:hAnsi="Sylfaen"/>
          <w:lang w:val="ka-GE"/>
        </w:rPr>
      </w:pPr>
    </w:p>
    <w:p w:rsidR="00F477AF" w:rsidRDefault="00D02BC9" w:rsidP="00255A9E">
      <w:pPr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D02BC9">
        <w:rPr>
          <w:rFonts w:ascii="Sylfaen" w:hAnsi="Sylfaen"/>
          <w:b/>
          <w:color w:val="000000"/>
          <w:shd w:val="clear" w:color="auto" w:fill="FFFFFF"/>
          <w:lang w:val="ka-GE"/>
        </w:rPr>
        <w:t>მივლინებების შედეგები</w:t>
      </w:r>
    </w:p>
    <w:p w:rsidR="00D02BC9" w:rsidRPr="00AA7C3C" w:rsidRDefault="00405B51" w:rsidP="00255A9E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როგორც დანართებშია წარმოდგენილი, 2018 წელს განსაკუთრებით გაზრდილია ტრენინგის/სხვა ქვეყნების გამოცდილების გაზიარების მიზნით განხორციელებული მივლინებები. აღნიშნული მივლინებები ხორციელდება, ძირითადად, მიმწვევი მხარის დაფინანსებით და მიზნად ისახავს საუკეთესო პრაქტიკის გაცნობის მაგალითზე არსებული სისტემებისა და მექანიზმების გაუმჯობესებას. თუმცა, ვფიქრობთ, </w:t>
      </w:r>
      <w:r w:rsidRPr="00AA7C3C">
        <w:rPr>
          <w:rFonts w:ascii="Sylfaen" w:hAnsi="Sylfaen"/>
          <w:b/>
          <w:lang w:val="ka-GE"/>
        </w:rPr>
        <w:t>არასაკმარისია დონორი ორგანიზაციების დახმარების გამოყენების ეფექტიანობა</w:t>
      </w:r>
      <w:r>
        <w:rPr>
          <w:rFonts w:ascii="Sylfaen" w:hAnsi="Sylfaen"/>
          <w:lang w:val="ka-GE"/>
        </w:rPr>
        <w:t xml:space="preserve"> ჩვენს მიერ, ვინაიდან, როგორც მიღებული ინფორმაცია ცხადჰყოფს, </w:t>
      </w:r>
      <w:r w:rsidRPr="00AA7C3C">
        <w:rPr>
          <w:rFonts w:ascii="Sylfaen" w:hAnsi="Sylfaen"/>
          <w:lang w:val="ka-GE"/>
        </w:rPr>
        <w:t>არ ხდება მიღებული ცოდნის გაზიარება სამინისტროს სხვა  შესაბამისი თანამშრომლებისთვის.</w:t>
      </w:r>
      <w:r>
        <w:rPr>
          <w:rFonts w:ascii="Sylfaen" w:hAnsi="Sylfaen"/>
          <w:lang w:val="ka-GE"/>
        </w:rPr>
        <w:t xml:space="preserve"> შესაბამისად, </w:t>
      </w:r>
      <w:r w:rsidR="00384C9E" w:rsidRPr="00AA7C3C">
        <w:rPr>
          <w:rFonts w:ascii="Sylfaen" w:hAnsi="Sylfaen"/>
          <w:b/>
          <w:lang w:val="ka-GE"/>
        </w:rPr>
        <w:t xml:space="preserve">ამ ტიპის მივლინებები, ძირითადად, თანამშრომლებისთვის მასტიმულირებელი ხასიათისაა </w:t>
      </w:r>
      <w:r w:rsidR="00F20DAF" w:rsidRPr="00AA7C3C">
        <w:rPr>
          <w:rFonts w:ascii="Sylfaen" w:hAnsi="Sylfaen"/>
          <w:b/>
          <w:lang w:val="ka-GE"/>
        </w:rPr>
        <w:t xml:space="preserve">და </w:t>
      </w:r>
      <w:r w:rsidR="00384C9E" w:rsidRPr="00AA7C3C">
        <w:rPr>
          <w:rFonts w:ascii="Sylfaen" w:hAnsi="Sylfaen"/>
          <w:b/>
          <w:lang w:val="ka-GE"/>
        </w:rPr>
        <w:t xml:space="preserve">არასაკმარისად არის შედეგზე ორიენტირებული. </w:t>
      </w:r>
    </w:p>
    <w:p w:rsidR="00405B51" w:rsidRPr="00D02BC9" w:rsidRDefault="00405B51" w:rsidP="00255A9E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მიგვაჩნია, რომ მარეგულირებელი </w:t>
      </w:r>
      <w:r w:rsidRPr="00AA7C3C">
        <w:rPr>
          <w:rFonts w:ascii="Sylfaen" w:hAnsi="Sylfaen"/>
          <w:b/>
          <w:lang w:val="ka-GE"/>
        </w:rPr>
        <w:t xml:space="preserve">ბრძანებით უნდა გაიწეროს ვალდებულება, საუკეთესო პრაქტიკის გაზიარების მიზნთ განხორციელებული მივლინებების </w:t>
      </w:r>
      <w:r w:rsidR="00384C9E" w:rsidRPr="00AA7C3C">
        <w:rPr>
          <w:rFonts w:ascii="Sylfaen" w:hAnsi="Sylfaen"/>
          <w:b/>
          <w:lang w:val="ka-GE"/>
        </w:rPr>
        <w:t>შემდეგ მიღებული ცოდნისა და გამოცდილების გაზიარების თაობაზე,</w:t>
      </w:r>
      <w:r w:rsidR="00384C9E">
        <w:rPr>
          <w:rFonts w:ascii="Sylfaen" w:hAnsi="Sylfaen"/>
          <w:lang w:val="ka-GE"/>
        </w:rPr>
        <w:t xml:space="preserve"> რაც ერთის მხრივ, ხელს შეუწყობს ამ ტიპის მივლინებების ეფექტიანობის ამაღლებას, ხოლო მეორეს მხრივ, გაზრდის საუკეთესო პრაქტიკის დანერგვისა და არსებული მექანიზმების გაუმჯობესების შესაძლებლობას.</w:t>
      </w:r>
      <w:bookmarkStart w:id="0" w:name="_GoBack"/>
      <w:bookmarkEnd w:id="0"/>
    </w:p>
    <w:sectPr w:rsidR="00405B51" w:rsidRPr="00D02BC9">
      <w:footerReference w:type="defaul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C2" w:rsidRDefault="00C811C2" w:rsidP="0056384C">
      <w:pPr>
        <w:spacing w:after="0" w:line="240" w:lineRule="auto"/>
      </w:pPr>
      <w:r>
        <w:separator/>
      </w:r>
    </w:p>
  </w:endnote>
  <w:endnote w:type="continuationSeparator" w:id="0">
    <w:p w:rsidR="00C811C2" w:rsidRDefault="00C811C2" w:rsidP="0056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301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0DAF" w:rsidRDefault="00F20D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C3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20DAF" w:rsidRDefault="00F20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C2" w:rsidRDefault="00C811C2" w:rsidP="0056384C">
      <w:pPr>
        <w:spacing w:after="0" w:line="240" w:lineRule="auto"/>
      </w:pPr>
      <w:r>
        <w:separator/>
      </w:r>
    </w:p>
  </w:footnote>
  <w:footnote w:type="continuationSeparator" w:id="0">
    <w:p w:rsidR="00C811C2" w:rsidRDefault="00C811C2" w:rsidP="0056384C">
      <w:pPr>
        <w:spacing w:after="0" w:line="240" w:lineRule="auto"/>
      </w:pPr>
      <w:r>
        <w:continuationSeparator/>
      </w:r>
    </w:p>
  </w:footnote>
  <w:footnote w:id="1">
    <w:p w:rsidR="0056384C" w:rsidRPr="0056384C" w:rsidRDefault="0056384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2018 წლის 3 დეკემბრის N01-1320/ო ბრძანება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693F"/>
    <w:multiLevelType w:val="hybridMultilevel"/>
    <w:tmpl w:val="BDA037A0"/>
    <w:lvl w:ilvl="0" w:tplc="4A16B74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7200E"/>
    <w:multiLevelType w:val="hybridMultilevel"/>
    <w:tmpl w:val="F78C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22672"/>
    <w:multiLevelType w:val="hybridMultilevel"/>
    <w:tmpl w:val="55E6B494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91E12"/>
    <w:multiLevelType w:val="multilevel"/>
    <w:tmpl w:val="C566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6D1B75"/>
    <w:multiLevelType w:val="hybridMultilevel"/>
    <w:tmpl w:val="F7701B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105222"/>
    <w:multiLevelType w:val="hybridMultilevel"/>
    <w:tmpl w:val="684E0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66AB4"/>
    <w:multiLevelType w:val="hybridMultilevel"/>
    <w:tmpl w:val="A4C6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B7561"/>
    <w:multiLevelType w:val="hybridMultilevel"/>
    <w:tmpl w:val="DA94F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E6C52"/>
    <w:multiLevelType w:val="hybridMultilevel"/>
    <w:tmpl w:val="6D5831C4"/>
    <w:lvl w:ilvl="0" w:tplc="566E453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3B29BF"/>
    <w:multiLevelType w:val="hybridMultilevel"/>
    <w:tmpl w:val="9FA8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6B2FBE"/>
    <w:multiLevelType w:val="multilevel"/>
    <w:tmpl w:val="94C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822D0"/>
    <w:multiLevelType w:val="hybridMultilevel"/>
    <w:tmpl w:val="3BDA84DA"/>
    <w:lvl w:ilvl="0" w:tplc="C8FAA73C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F7A06"/>
    <w:multiLevelType w:val="hybridMultilevel"/>
    <w:tmpl w:val="0E063B8A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2"/>
    </w:lvlOverride>
  </w:num>
  <w:num w:numId="8">
    <w:abstractNumId w:val="10"/>
    <w:lvlOverride w:ilvl="0">
      <w:startOverride w:val="3"/>
    </w:lvlOverride>
  </w:num>
  <w:num w:numId="9">
    <w:abstractNumId w:val="10"/>
    <w:lvlOverride w:ilvl="0">
      <w:startOverride w:val="4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"/>
  </w:num>
  <w:num w:numId="15">
    <w:abstractNumId w:val="5"/>
  </w:num>
  <w:num w:numId="16">
    <w:abstractNumId w:val="12"/>
  </w:num>
  <w:num w:numId="17">
    <w:abstractNumId w:val="7"/>
  </w:num>
  <w:num w:numId="18">
    <w:abstractNumId w:val="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01"/>
    <w:rsid w:val="00040E2E"/>
    <w:rsid w:val="00044CD5"/>
    <w:rsid w:val="00053977"/>
    <w:rsid w:val="000A34D5"/>
    <w:rsid w:val="00176530"/>
    <w:rsid w:val="001D3FA8"/>
    <w:rsid w:val="00215E1E"/>
    <w:rsid w:val="00223DA4"/>
    <w:rsid w:val="00250242"/>
    <w:rsid w:val="00255A9E"/>
    <w:rsid w:val="00281DC7"/>
    <w:rsid w:val="002C5575"/>
    <w:rsid w:val="002D1598"/>
    <w:rsid w:val="003207EE"/>
    <w:rsid w:val="00363F31"/>
    <w:rsid w:val="00384C9E"/>
    <w:rsid w:val="003A5B13"/>
    <w:rsid w:val="003E69F8"/>
    <w:rsid w:val="00405B51"/>
    <w:rsid w:val="004443FE"/>
    <w:rsid w:val="004F61AC"/>
    <w:rsid w:val="00501E0D"/>
    <w:rsid w:val="00511355"/>
    <w:rsid w:val="0056384C"/>
    <w:rsid w:val="005B0AB5"/>
    <w:rsid w:val="006511BD"/>
    <w:rsid w:val="0065798E"/>
    <w:rsid w:val="00740423"/>
    <w:rsid w:val="007C50CA"/>
    <w:rsid w:val="007D0B44"/>
    <w:rsid w:val="007E1F94"/>
    <w:rsid w:val="00863A58"/>
    <w:rsid w:val="008B200F"/>
    <w:rsid w:val="00917381"/>
    <w:rsid w:val="0096031B"/>
    <w:rsid w:val="009B11D3"/>
    <w:rsid w:val="00A014E9"/>
    <w:rsid w:val="00AA7C3C"/>
    <w:rsid w:val="00AB1B6A"/>
    <w:rsid w:val="00B82FFA"/>
    <w:rsid w:val="00BC4114"/>
    <w:rsid w:val="00BE1197"/>
    <w:rsid w:val="00BF4BB4"/>
    <w:rsid w:val="00BF4F3D"/>
    <w:rsid w:val="00C01B0D"/>
    <w:rsid w:val="00C60602"/>
    <w:rsid w:val="00C811C2"/>
    <w:rsid w:val="00CB65A6"/>
    <w:rsid w:val="00D02BC9"/>
    <w:rsid w:val="00D56AA6"/>
    <w:rsid w:val="00D72560"/>
    <w:rsid w:val="00D8195D"/>
    <w:rsid w:val="00DA4DA2"/>
    <w:rsid w:val="00DD23AE"/>
    <w:rsid w:val="00E43D23"/>
    <w:rsid w:val="00E85726"/>
    <w:rsid w:val="00EF7F77"/>
    <w:rsid w:val="00F20DAF"/>
    <w:rsid w:val="00F21911"/>
    <w:rsid w:val="00F477AF"/>
    <w:rsid w:val="00F56B01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4B91D-D4EA-49CE-A245-3BFDC992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6B0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3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8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8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0D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DAF"/>
  </w:style>
  <w:style w:type="paragraph" w:styleId="Footer">
    <w:name w:val="footer"/>
    <w:basedOn w:val="Normal"/>
    <w:link w:val="FooterChar"/>
    <w:uiPriority w:val="99"/>
    <w:unhideWhenUsed/>
    <w:rsid w:val="00F20D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65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6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0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72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84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641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0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2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3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haradze\Desktop\&#4315;&#4312;&#4309;&#4314;&#4312;&#4316;&#4308;&#4305;&#4304;\2019\&#4321;&#4322;&#4304;&#4322;&#4312;&#4321;&#4322;&#4312;&#4313;&#4304;%20&#4332;&#4314;&#4308;&#4305;&#4312;&#4321;%20&#4315;&#4312;&#4334;&#4308;&#4307;&#4309;&#4312;&#431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haradze\Desktop\&#4315;&#4312;&#4309;&#4314;&#4312;&#4316;&#4308;&#4305;&#4304;\2019\&#4321;&#4322;&#4304;&#4322;&#4312;&#4321;&#4322;&#4312;&#4313;&#4304;%20&#4332;&#4314;&#4308;&#4305;&#4312;&#4321;%20&#4315;&#4312;&#4334;&#4308;&#4307;&#4309;&#4312;&#431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haradze\Desktop\&#4315;&#4312;&#4309;&#4314;&#4312;&#4316;&#4308;&#4305;&#4304;\2019\&#4321;&#4322;&#4304;&#4322;&#4312;&#4321;&#4322;&#4312;&#4313;&#4304;%20&#4332;&#4314;&#4308;&#4305;&#4312;&#4321;%20&#4315;&#4312;&#4334;&#4308;&#4307;&#4309;&#4312;&#431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haradze\Desktop\&#4315;&#4312;&#4309;&#4314;&#4312;&#4316;&#4308;&#4305;&#4304;\2019\&#4321;&#4322;&#4304;&#4322;&#4312;&#4321;&#4322;&#4312;&#4313;&#4304;%20&#4332;&#4314;&#4308;&#4305;&#4312;&#4321;%20&#4315;&#4312;&#4334;&#4308;&#4307;&#4309;&#4312;&#431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haradze\Desktop\&#4315;&#4312;&#4309;&#4314;&#4312;&#4316;&#4308;&#4305;&#4304;\2019\&#4321;&#4322;&#4304;&#4322;&#4312;&#4321;&#4322;&#4312;&#4313;&#4304;%20&#4332;&#4314;&#4308;&#4305;&#4312;&#4321;%20&#4315;&#4312;&#4334;&#4308;&#4307;&#4309;&#4312;&#431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მივლინებების რ-ბა წლების მიხედვით</a:t>
            </a:r>
          </a:p>
        </c:rich>
      </c:tx>
      <c:layout>
        <c:manualLayout>
          <c:xMode val="edge"/>
          <c:yMode val="edge"/>
          <c:x val="0.23137500669559163"/>
          <c:y val="2.32961426946085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'წლების დინამიკა'!$G$1:$O$1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'წლების დინამიკა'!$G$2:$O$2</c:f>
              <c:numCache>
                <c:formatCode>General</c:formatCode>
                <c:ptCount val="9"/>
                <c:pt idx="0">
                  <c:v>77</c:v>
                </c:pt>
                <c:pt idx="1">
                  <c:v>77</c:v>
                </c:pt>
                <c:pt idx="2">
                  <c:v>64</c:v>
                </c:pt>
                <c:pt idx="3">
                  <c:v>55</c:v>
                </c:pt>
                <c:pt idx="4">
                  <c:v>48</c:v>
                </c:pt>
                <c:pt idx="5">
                  <c:v>94</c:v>
                </c:pt>
                <c:pt idx="6">
                  <c:v>99</c:v>
                </c:pt>
                <c:pt idx="7">
                  <c:v>65</c:v>
                </c:pt>
                <c:pt idx="8">
                  <c:v>110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13636856"/>
        <c:axId val="797037880"/>
      </c:barChart>
      <c:catAx>
        <c:axId val="813636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37880"/>
        <c:crosses val="autoZero"/>
        <c:auto val="1"/>
        <c:lblAlgn val="ctr"/>
        <c:lblOffset val="100"/>
        <c:noMultiLvlLbl val="0"/>
      </c:catAx>
      <c:valAx>
        <c:axId val="7970378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13636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ka-GE" sz="1200" b="1"/>
              <a:t>მივლინებათა დინამიკა თანამდებობების მიხედვით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'წლების დინამიკა'!$A$30</c:f>
              <c:strCache>
                <c:ptCount val="1"/>
                <c:pt idx="0">
                  <c:v>სამინისტროს ხელმძღვანელობა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accent1">
                  <a:lumMod val="75000"/>
                </a:schemeClr>
              </a:solidFill>
            </a:ln>
            <a:effectLst/>
            <a:sp3d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'წლების დინამიკა'!$B$29:$J$29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'წლების დინამიკა'!$B$30:$J$30</c:f>
              <c:numCache>
                <c:formatCode>0</c:formatCode>
                <c:ptCount val="9"/>
                <c:pt idx="0">
                  <c:v>27</c:v>
                </c:pt>
                <c:pt idx="1">
                  <c:v>29</c:v>
                </c:pt>
                <c:pt idx="2">
                  <c:v>24</c:v>
                </c:pt>
                <c:pt idx="3">
                  <c:v>17</c:v>
                </c:pt>
                <c:pt idx="4">
                  <c:v>10</c:v>
                </c:pt>
                <c:pt idx="5">
                  <c:v>13</c:v>
                </c:pt>
                <c:pt idx="6">
                  <c:v>24</c:v>
                </c:pt>
                <c:pt idx="7" formatCode="General">
                  <c:v>16</c:v>
                </c:pt>
                <c:pt idx="8">
                  <c:v>24</c:v>
                </c:pt>
              </c:numCache>
            </c:numRef>
          </c:val>
        </c:ser>
        <c:ser>
          <c:idx val="1"/>
          <c:order val="1"/>
          <c:tx>
            <c:strRef>
              <c:f>'წლების დინამიკა'!$A$31</c:f>
              <c:strCache>
                <c:ptCount val="1"/>
                <c:pt idx="0">
                  <c:v>დეპარტამენტის უფროსი/მოადგილე/სამმართველოს უფროსი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solidFill>
                <a:schemeClr val="accent2">
                  <a:lumMod val="50000"/>
                </a:schemeClr>
              </a:solidFill>
            </a:ln>
            <a:effectLst/>
            <a:sp3d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'წლების დინამიკა'!$B$29:$J$29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'წლების დინამიკა'!$B$31:$J$31</c:f>
              <c:numCache>
                <c:formatCode>0</c:formatCode>
                <c:ptCount val="9"/>
                <c:pt idx="0">
                  <c:v>22</c:v>
                </c:pt>
                <c:pt idx="1">
                  <c:v>29</c:v>
                </c:pt>
                <c:pt idx="2">
                  <c:v>21</c:v>
                </c:pt>
                <c:pt idx="3">
                  <c:v>22</c:v>
                </c:pt>
                <c:pt idx="4">
                  <c:v>11</c:v>
                </c:pt>
                <c:pt idx="5">
                  <c:v>41</c:v>
                </c:pt>
                <c:pt idx="6">
                  <c:v>48</c:v>
                </c:pt>
                <c:pt idx="7" formatCode="General">
                  <c:v>34</c:v>
                </c:pt>
                <c:pt idx="8">
                  <c:v>62</c:v>
                </c:pt>
              </c:numCache>
            </c:numRef>
          </c:val>
        </c:ser>
        <c:ser>
          <c:idx val="2"/>
          <c:order val="2"/>
          <c:tx>
            <c:strRef>
              <c:f>'წლების დინამიკა'!$A$32</c:f>
              <c:strCache>
                <c:ptCount val="1"/>
                <c:pt idx="0">
                  <c:v>მრჩეველი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'წლების დინამიკა'!$B$29:$J$29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'წლების დინამიკა'!$B$32:$J$32</c:f>
              <c:numCache>
                <c:formatCode>0</c:formatCode>
                <c:ptCount val="9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 formatCode="General">
                  <c:v>1</c:v>
                </c:pt>
                <c:pt idx="8">
                  <c:v>2</c:v>
                </c:pt>
              </c:numCache>
            </c:numRef>
          </c:val>
        </c:ser>
        <c:ser>
          <c:idx val="3"/>
          <c:order val="3"/>
          <c:tx>
            <c:strRef>
              <c:f>'წლების დინამიკა'!$A$33</c:f>
              <c:strCache>
                <c:ptCount val="1"/>
                <c:pt idx="0">
                  <c:v>რიგითი თანამშრომლები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chemeClr val="accent4">
                  <a:lumMod val="75000"/>
                </a:schemeClr>
              </a:solidFill>
            </a:ln>
            <a:effectLst/>
            <a:sp3d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'წლების დინამიკა'!$B$29:$J$29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'წლების დინამიკა'!$B$33:$J$33</c:f>
              <c:numCache>
                <c:formatCode>0</c:formatCode>
                <c:ptCount val="9"/>
                <c:pt idx="0">
                  <c:v>21</c:v>
                </c:pt>
                <c:pt idx="1">
                  <c:v>18</c:v>
                </c:pt>
                <c:pt idx="2">
                  <c:v>19</c:v>
                </c:pt>
                <c:pt idx="3">
                  <c:v>15</c:v>
                </c:pt>
                <c:pt idx="4">
                  <c:v>25</c:v>
                </c:pt>
                <c:pt idx="5">
                  <c:v>39</c:v>
                </c:pt>
                <c:pt idx="6">
                  <c:v>25</c:v>
                </c:pt>
                <c:pt idx="7" formatCode="General">
                  <c:v>14</c:v>
                </c:pt>
                <c:pt idx="8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97038664"/>
        <c:axId val="797039056"/>
        <c:axId val="0"/>
      </c:bar3DChart>
      <c:catAx>
        <c:axId val="797038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39056"/>
        <c:crosses val="autoZero"/>
        <c:auto val="1"/>
        <c:lblAlgn val="ctr"/>
        <c:lblOffset val="100"/>
        <c:noMultiLvlLbl val="0"/>
      </c:catAx>
      <c:valAx>
        <c:axId val="79703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3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მივლინებები დეპარტამენტების მიხედვით</a:t>
            </a:r>
            <a:r>
              <a:rPr lang="en-US" sz="1200" b="1"/>
              <a:t> (2018 </a:t>
            </a:r>
            <a:r>
              <a:rPr lang="ka-GE" sz="1200" b="1"/>
              <a:t>წელი)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'2018'!$A$1:$J$1</c:f>
              <c:strCache>
                <c:ptCount val="10"/>
                <c:pt idx="0">
                  <c:v>ჯანმრთ.დაცვ.დეპ</c:v>
                </c:pt>
                <c:pt idx="1">
                  <c:v>სოც.დაცვ.დეპ</c:v>
                </c:pt>
                <c:pt idx="2">
                  <c:v>დასაქმების დეპ.</c:v>
                </c:pt>
                <c:pt idx="3">
                  <c:v>შრ.პირობ.ინსპექტ.</c:v>
                </c:pt>
                <c:pt idx="4">
                  <c:v>ეკონომიკ.დეპ</c:v>
                </c:pt>
                <c:pt idx="5">
                  <c:v>მინ.აპარატი</c:v>
                </c:pt>
                <c:pt idx="6">
                  <c:v>IT</c:v>
                </c:pt>
                <c:pt idx="7">
                  <c:v>მასმედია</c:v>
                </c:pt>
                <c:pt idx="8">
                  <c:v>იურიდ.დეპ</c:v>
                </c:pt>
                <c:pt idx="9">
                  <c:v>შიდა აუდიტ.დეპ</c:v>
                </c:pt>
              </c:strCache>
            </c:strRef>
          </c:cat>
          <c:val>
            <c:numRef>
              <c:f>'2018'!$A$2:$J$2</c:f>
              <c:numCache>
                <c:formatCode>General</c:formatCode>
                <c:ptCount val="10"/>
                <c:pt idx="0">
                  <c:v>42</c:v>
                </c:pt>
                <c:pt idx="1">
                  <c:v>8</c:v>
                </c:pt>
                <c:pt idx="2">
                  <c:v>13</c:v>
                </c:pt>
                <c:pt idx="3">
                  <c:v>1</c:v>
                </c:pt>
                <c:pt idx="4">
                  <c:v>2</c:v>
                </c:pt>
                <c:pt idx="5">
                  <c:v>16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7039840"/>
        <c:axId val="797040232"/>
        <c:axId val="0"/>
      </c:bar3DChart>
      <c:catAx>
        <c:axId val="79703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40232"/>
        <c:crosses val="autoZero"/>
        <c:auto val="1"/>
        <c:lblAlgn val="ctr"/>
        <c:lblOffset val="100"/>
        <c:noMultiLvlLbl val="0"/>
      </c:catAx>
      <c:valAx>
        <c:axId val="797040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3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მივლინებები მიზნობრიობის მიხედვით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'მიზნობრიობა 2018'!$A$29</c:f>
              <c:strCache>
                <c:ptCount val="1"/>
                <c:pt idx="0">
                  <c:v>დელეგაცია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'მიზნობრიობა 2018'!$B$28:$F$28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'მიზნობრიობა 2018'!$B$29:$F$29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13</c:v>
                </c:pt>
                <c:pt idx="3">
                  <c:v>1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'მიზნობრიობა 2018'!$A$30</c:f>
              <c:strCache>
                <c:ptCount val="1"/>
                <c:pt idx="0">
                  <c:v>მოხსენება/დისკუსიაში მონაწილეობა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'მიზნობრიობა 2018'!$B$28:$F$28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'მიზნობრიობა 2018'!$B$30:$F$30</c:f>
              <c:numCache>
                <c:formatCode>General</c:formatCode>
                <c:ptCount val="5"/>
                <c:pt idx="0">
                  <c:v>22</c:v>
                </c:pt>
                <c:pt idx="1">
                  <c:v>55</c:v>
                </c:pt>
                <c:pt idx="2">
                  <c:v>42</c:v>
                </c:pt>
                <c:pt idx="3">
                  <c:v>36</c:v>
                </c:pt>
                <c:pt idx="4">
                  <c:v>26</c:v>
                </c:pt>
              </c:numCache>
            </c:numRef>
          </c:val>
        </c:ser>
        <c:ser>
          <c:idx val="2"/>
          <c:order val="2"/>
          <c:tx>
            <c:strRef>
              <c:f>'მიზნობრიობა 2018'!$A$31</c:f>
              <c:strCache>
                <c:ptCount val="1"/>
                <c:pt idx="0">
                  <c:v>სასწავლო ვიზიტი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'მიზნობრიობა 2018'!$B$28:$F$28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'მიზნობრიობა 2018'!$B$31:$F$31</c:f>
              <c:numCache>
                <c:formatCode>General</c:formatCode>
                <c:ptCount val="5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12</c:v>
                </c:pt>
                <c:pt idx="4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7041016"/>
        <c:axId val="797041408"/>
        <c:axId val="0"/>
      </c:bar3DChart>
      <c:catAx>
        <c:axId val="797041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41408"/>
        <c:crosses val="autoZero"/>
        <c:auto val="1"/>
        <c:lblAlgn val="ctr"/>
        <c:lblOffset val="100"/>
        <c:noMultiLvlLbl val="0"/>
      </c:catAx>
      <c:valAx>
        <c:axId val="79704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7041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მივლინებები მიზნობრიობის მიხედვით (2018)</a:t>
            </a:r>
          </a:p>
        </c:rich>
      </c:tx>
      <c:layout>
        <c:manualLayout>
          <c:xMode val="edge"/>
          <c:yMode val="edge"/>
          <c:x val="0.22222722159730035"/>
          <c:y val="8.8446640211603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'მიზნობრიობა 2018'!$A$1:$D$1</c:f>
              <c:strCache>
                <c:ptCount val="4"/>
                <c:pt idx="0">
                  <c:v>მოხსენების წარდგენა</c:v>
                </c:pt>
                <c:pt idx="1">
                  <c:v>პანელურ დიკუსიაში მონაწილეობა</c:v>
                </c:pt>
                <c:pt idx="2">
                  <c:v>დელეგაცია</c:v>
                </c:pt>
                <c:pt idx="3">
                  <c:v>სასწავლო ვიზიტი/სხვა ქვეყნების გამოცდილებების გაცნობა</c:v>
                </c:pt>
              </c:strCache>
            </c:strRef>
          </c:cat>
          <c:val>
            <c:numRef>
              <c:f>'მიზნობრიობა 2018'!$A$2:$D$2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21</c:v>
                </c:pt>
                <c:pt idx="3">
                  <c:v>38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12019808"/>
        <c:axId val="812020200"/>
      </c:barChart>
      <c:catAx>
        <c:axId val="812019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020200"/>
        <c:crosses val="autoZero"/>
        <c:auto val="1"/>
        <c:lblAlgn val="ctr"/>
        <c:lblOffset val="100"/>
        <c:noMultiLvlLbl val="0"/>
      </c:catAx>
      <c:valAx>
        <c:axId val="81202020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01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მივლინებები დაფინანსების წყაროების მიხედვით (2018 წელი)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'2018'!$A$29:$C$29</c:f>
              <c:strCache>
                <c:ptCount val="3"/>
                <c:pt idx="0">
                  <c:v>მიმწვევი მხარე</c:v>
                </c:pt>
                <c:pt idx="1">
                  <c:v>სამინისტრო (მხოლოდ სადღეღამისო)</c:v>
                </c:pt>
                <c:pt idx="2">
                  <c:v>სამინისტრო (სრულად)</c:v>
                </c:pt>
              </c:strCache>
            </c:strRef>
          </c:cat>
          <c:val>
            <c:numRef>
              <c:f>'2018'!$A$30:$C$30</c:f>
              <c:numCache>
                <c:formatCode>General</c:formatCode>
                <c:ptCount val="3"/>
                <c:pt idx="0">
                  <c:v>51</c:v>
                </c:pt>
                <c:pt idx="1">
                  <c:v>26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12020984"/>
        <c:axId val="812021376"/>
        <c:axId val="0"/>
      </c:bar3DChart>
      <c:catAx>
        <c:axId val="812020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021376"/>
        <c:crosses val="autoZero"/>
        <c:auto val="1"/>
        <c:lblAlgn val="ctr"/>
        <c:lblOffset val="100"/>
        <c:noMultiLvlLbl val="0"/>
      </c:catAx>
      <c:valAx>
        <c:axId val="812021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2020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D677-09C0-4F90-8B26-2BD295B9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7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16</cp:revision>
  <dcterms:created xsi:type="dcterms:W3CDTF">2019-03-20T06:55:00Z</dcterms:created>
  <dcterms:modified xsi:type="dcterms:W3CDTF">2019-04-02T12:07:00Z</dcterms:modified>
</cp:coreProperties>
</file>